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CN202111046324.5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2021年09月08日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一种水蒸气辅助蛋白基复合膜材料二次交联的方法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2023年08月29日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69789435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927064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927064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74.19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6808688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6883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90.23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927064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67.3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39.39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105.79万元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2706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2706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一种水蒸气辅助蛋白基复合膜材料二次交联的方法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CN113603920B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2023年08月29日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CN202111046324.5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何明,尹国强,陈文杰,丁姣,高子姗,赖锐豪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北京和信华成知识产权代理事务所(普通合伙)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徐瑞林</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C08J7/12 .化学改性 [2006.01]</w:t>
              <w:br/>
              <w:t>C08L29/04 ..聚乙烯醇； 部分水解的不饱和醇与饱和羧酸的酯的均聚物或共聚物[2006.01]</w:t>
              <w:br/>
              <w:t>C08L89/00 蛋白质的组合物；其衍生物的组合物 [2006.01]</w:t>
              <w:br/>
              <w:t>D06M11/05 ..用水，如蒸汽；用重水 [2006.01]</w:t>
              <w:br/>
              <w:t>D06M101/10 ..动物纤维 [2006.01]</w:t>
              <w:br/>
              <w:t>D06M101/24 ...链烯醇或其酯的共聚物或聚合物；链烯醚、醛或酮的聚合物或共聚物[2006.01]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高分子材料交联技术领域，公开一种水蒸气辅助蛋白基复合膜材料二次交联的方法，包括以下步骤：（1）成膜液的制备；（2）将交联剂加入成膜液中，在40~60℃下搅拌20~60min，得到预交联成膜液；（3）通过浇铸法或静电纺丝法制得预交联蛋白基复合膜；（4）将预交联蛋白基复合膜置于水蒸气氛围中进行二次交联处理。本方法所得的二次交联改性蛋白基复合膜具有较高的交联度，能在不影响成膜性的情况下，有效提高蛋白基复合膜的耐水性和力学性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314339"/>
                  <wp:effectExtent l="0" t="0" r="0" b="0"/>
                  <wp:docPr id="370149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4905" name=""/>
                          <pic:cNvPicPr/>
                        </pic:nvPicPr>
                        <pic:blipFill>
                          <a:blip xmlns:r="http://schemas.openxmlformats.org/officeDocument/2006/relationships" r:embed="rId13"/>
                          <a:stretch>
                            <a:fillRect/>
                          </a:stretch>
                        </pic:blipFill>
                        <pic:spPr>
                          <a:xfrm>
                            <a:off x="0" y="0"/>
                            <a:ext cx="2222500" cy="2314339"/>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2706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IPC(主分类):C08J   7/12 申请日:20210908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20230829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2706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2706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2706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2706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2706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92706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2706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2706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C416,C609,D501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2706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2706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2706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2706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2706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24.99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CN113603920B价值评估报告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CN113603920B价值评估报告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CN113603920B价值评估报告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