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CN202122090147.2</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2021年09月01日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一种适用于种植旱生湿生花卉的组合式盆栽容器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2022年01月07日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仲恺农业工程学院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2025年01月20日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sdt>
      <w:sdtPr>
        <w:id w:val="454051862"/>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pPr>
      <w:bookmarkStart w:id="1" w:name="_Toc5798461"/>
    </w:p>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948691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948691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70.84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69.39</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15763196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631969"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69.63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62.46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87.05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86.31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69.25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69.47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57.43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59.31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948691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23.57</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8.44</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42.27</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40.72万元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948691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948691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一种适用于种植旱生湿生花卉的组合式盆栽容器</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CN215421893U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2022年01月07日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CN202122090147.2</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2021年09月01日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仲恺农业工程学院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惠俊爱,吴丽霞,成林青,陈映凡,肖静兰,黎德政,周厚高</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北京东方盛凡知识产权代理事务所(普通合伙)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李瑞雨</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A01G27/00 自动浇水装置，如用于花盆的 [2006.01]</w:t>
              <w:br/>
              <w:t>A01C23/02 .将液体直接输送进土壤里的专用设备 [2006.01]</w:t>
              <w:br/>
              <w:t>A01G9/02 .容器，例如花盆或花箱（自动浇水装置入 A01G 27/00; 悬挂花篮、装花盆用的容器入 A47G7/00 ）；栽培花卉用的玻璃器皿 [2018.01]</w:t>
              <w:br/>
              <w:t>A01C23/00 专门适用于液体厩肥或其他液体肥料，包括氨水的撒布装置，例如运输罐、喷洒车 [2006.01]</w:t>
              <w:br/>
              <w:t>A01G27/04 .利用油绳或类似物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公开一种适用于种植旱生湿生花卉的组合式盆栽容器，包括淤泥，肥水，花土，湿生花卉，旱生花卉和盆栽容器，盆栽容器包括水盆，若干土盆和循环机构；循环机构与水盆外侧壁固接并连通；花土设置于土盆内部，湿生花卉种植于淤泥内；旱生花卉种植于花土内；水盆包括水盆体；水盆体为一顶部开放的立方体盒状结构；肥水和淤泥分别设置于水盆体内腔底部；水盆体两相对侧面顶部分别开设有让位口；让位口顶面两侧分别开设有卡接槽；两卡接槽内设置有横梁；土盆设置于水盆体顶面上。本实用新型能够节约水资源，提高土地资源的利用率，降低人工维护的频次。</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189038"/>
                  <wp:effectExtent l="0" t="0" r="0" b="0"/>
                  <wp:docPr id="186318757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187571" name=""/>
                          <pic:cNvPicPr/>
                        </pic:nvPicPr>
                        <pic:blipFill>
                          <a:blip xmlns:r="http://schemas.openxmlformats.org/officeDocument/2006/relationships" r:embed="rId13"/>
                          <a:stretch>
                            <a:fillRect/>
                          </a:stretch>
                        </pic:blipFill>
                        <pic:spPr>
                          <a:xfrm>
                            <a:off x="0" y="0"/>
                            <a:ext cx="2222500" cy="1189038"/>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948691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20220107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948691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948691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948691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948691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948691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948691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948691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250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2415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1237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1109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948691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B102,D302</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948691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948691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948691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948691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0.6799999999999999</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22</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613</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21</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0.23</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0.32</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80</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301</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77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948691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0.93</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47.19</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0.93</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CN215421893U价值评估报告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CN215421893U价值评估报告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CN215421893U价值评估报告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