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CN202122090040.8</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2021年09月01日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一种具有储水保湿防涝根功能的盆栽装置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2022年01月25日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仲恺农业工程学院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891583089"/>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315044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315044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70.04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69.39</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9693778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377840"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69.01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62.46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85.35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86.31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68.89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69.47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56.93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59.31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315044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22.79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8.44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40.86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40.72万元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315044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315044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一种具有储水保湿防涝根功能的盆栽装置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CN215602133U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2022年01月25日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CN202122090040.8</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2021年09月01日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仲恺农业工程学院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惠俊爱,周厚高</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北京东方盛凡知识产权代理事务所(普通合伙)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李瑞雨</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A01G27/00 自动浇水装置，如用于花盆的 [2006.01]</w:t>
              <w:br/>
              <w:t>A01G9/02 .容器，例如花盆或花箱（自动浇水装置入 A01G 27/00; 悬挂花篮、装花盆用的容器入 A47G7/00 ）；栽培花卉用的玻璃器皿 [2018.01]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一种具有储水保湿防涝根功能的盆栽装置，包括：盆体,盆体底面固接有储水机构,喷水腔内壁开设有若干喷水孔,盆体内壁上固接有若干喷头,盆体内腔底面中心固接有湿度传感器，盆体底面绕湿度传感器周向阵列设置有若干滤水机构；储水机构包括储水壳体，储水壳体顶面为开放设置，储水壳体顶面与盆体底面固接，盆体底面固接有水泵，水泵的输入端连通有进水管，储水壳体内腔底面固接有进水组件，进水管底部与进水组件连通，水泵的输出端连通有出水管的一端，出水管的另一端连通有控流组件，控流组件固接在储水壳体内壁上，控流组件的顶部连通有喷水管，喷水管顶部与喷水腔连通，储水壳体侧壁顶部开设有补水孔。</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011363"/>
                  <wp:effectExtent l="0" t="0" r="0" b="0"/>
                  <wp:docPr id="105216907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169076" name=""/>
                          <pic:cNvPicPr/>
                        </pic:nvPicPr>
                        <pic:blipFill>
                          <a:blip xmlns:r="http://schemas.openxmlformats.org/officeDocument/2006/relationships" r:embed="rId13"/>
                          <a:stretch>
                            <a:fillRect/>
                          </a:stretch>
                        </pic:blipFill>
                        <pic:spPr>
                          <a:xfrm>
                            <a:off x="0" y="0"/>
                            <a:ext cx="2222500" cy="201136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315044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20220125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315044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315044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315044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315044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315044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315044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315044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360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2415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1237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1091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315044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D302</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315044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315044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315044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315044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0.5700000000000001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521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0.61</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408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104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315044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0.89</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0.92</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60.35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0.92</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CN215602133U价值评估报告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CN215602133U价值评估报告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CN215602133U价值评估报告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