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CN201410361460.7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2014年07月25日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一株螯台球菌在废水处理中的应用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2015年07月29日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94176042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87257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87257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04523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230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87257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344.12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189.39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344.12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352.03万元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872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872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一株螯台球菌在废水处理中的应用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CN104163499B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2015年07月29日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CN201410361460.7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2014年07月25日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黄少斌,吉海鹏,张永清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宫爱鹏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C02F3/34 .以利用微生物为特征的 [2023.01]</w:t>
              <w:br/>
              <w:t>C12R1/01 .细菌或放线菌目 [2006.01]</w:t>
              <w:br/>
              <w:t>C02F103/16 .来自冶金过程，即来自金属生产、精炼或处理，例如电镀废物[2006.01]</w:t>
              <w:br/>
              <w:t>C12N1/20 .细菌；其培养基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本发明公开了一株螯台球菌在废水处理中的应用，该菌株为螯台球菌(Chelatococcus daeguensis)TAD1，保藏编号为CGMCC NO.5226，螯台球菌CGMCC5226用于同步去除废水中的氮素和六价铬。该菌株对温度的适应具有广谱性，在30-50℃均有较高的去除效率，菌株主要将Cr(VI)还原为毒性较小的Cr(III)、部分氮素还原为N&lt;Sub&gt;2&lt;/Sub&gt;或N&lt;Sub&gt;2&lt;/Sub&gt;O，因此该菌株可实现同步脱除氮素、Cr(VI)、碳素，在污染水体修复中具有广阔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77925"/>
                  <wp:effectExtent l="0" t="0" r="0" b="0"/>
                  <wp:docPr id="6161124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12407" name=""/>
                          <pic:cNvPicPr/>
                        </pic:nvPicPr>
                        <pic:blipFill>
                          <a:blip xmlns:r="http://schemas.openxmlformats.org/officeDocument/2006/relationships" r:embed="rId13"/>
                          <a:stretch>
                            <a:fillRect/>
                          </a:stretch>
                        </pic:blipFill>
                        <pic:spPr>
                          <a:xfrm>
                            <a:off x="0" y="0"/>
                            <a:ext cx="2222500" cy="11779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872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20141224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IPC(主分类):C02F   3/34 申请日:20140725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20150729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IPC(主分类):C12N   1/20 声明编号:XK2023990001615 申请日:20140725 专利权人:华南理工大学 联系方式:联系人姓名：孙戈 邮编：510641 地址：广东省广州市天河区五山路381号华南理工大学37号楼202 电子邮箱：zlswzx@scut.edu.cn 电话：020-87113501 发明名称:一株螯台球菌在废水处理中的应用 使用费支付方式:分期付款 使用费支付标准:采用总付额内分期支付的方式，在合同生效后5日内支付第一批次8000元，后在每个会计年截止前的5日内，分3批次支付，每次支付8000元。包括第一次在内总共支付3次，共计24000元。 授权公告日:20150729 许可期限届满日:20251231 生效日期:20240312</w:t>
            </w:r>
          </w:p>
        </w:tc>
      </w:tr>
    </w:tbl>
    <w:p>
      <w:pPr>
        <w:pStyle w:val="Heading2"/>
        <w:numPr>
          <w:ilvl w:val="1"/>
          <w:numId w:val="4"/>
        </w:numPr>
        <w:bidi w:val="0"/>
        <w:rPr>
          <w:rFonts w:hint="eastAsia"/>
          <w:color w:val="auto"/>
          <w:lang w:val="en-US" w:eastAsia="zh-CN"/>
        </w:rPr>
      </w:pPr>
      <w:bookmarkStart w:id="20" w:name="_Toc4872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872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872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872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872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872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872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3480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3825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872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D305,G208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872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872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872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872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872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CN104163499B价值评估报告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CN104163499B价值评估报告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CN104163499B价值评估报告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