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0.12.0 -->
  <w:body>
    <w:p>
      <w:pPr>
        <w:rPr>
          <w:rFonts w:eastAsiaTheme="minorHAnsi"/>
        </w:rPr>
      </w:pPr>
      <w:r>
        <w:rPr>
          <w:rFonts w:eastAsiaTheme="minorHAnsi"/>
        </w:rPr>
        <w:drawing>
          <wp:inline distT="0" distB="0" distL="114300" distR="114300">
            <wp:extent cx="1704975" cy="306705"/>
            <wp:effectExtent l="0" t="0" r="0" b="1714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a:xfrm>
                      <a:off x="0" y="0"/>
                      <a:ext cx="1704975" cy="306705"/>
                    </a:xfrm>
                    <a:prstGeom prst="rect">
                      <a:avLst/>
                    </a:prstGeom>
                    <a:noFill/>
                    <a:ln>
                      <a:noFill/>
                    </a:ln>
                  </pic:spPr>
                </pic:pic>
              </a:graphicData>
            </a:graphic>
          </wp:inline>
        </w:drawing>
      </w:r>
    </w:p>
    <w:p>
      <w:pPr>
        <w:rPr>
          <w:rFonts w:eastAsiaTheme="minorEastAsia" w:hint="eastAsia"/>
          <w:lang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rPr>
          <w:rFonts w:ascii="思源黑体 Bold" w:eastAsia="思源黑体 Bold" w:hAnsi="思源黑体 Bold" w:cs="思源黑体 Bold" w:hint="eastAsia"/>
          <w:color w:val="4472C4" w:themeColor="accent5"/>
          <w:sz w:val="84"/>
          <w:szCs w:val="84"/>
          <w:lang w:val="en-US" w:eastAsia="zh-CN"/>
          <w14:textFill>
            <w14:solidFill>
              <w14:schemeClr w14:val="accent5"/>
            </w14:solidFill>
          </w14:textFill>
        </w:rPr>
      </w:pPr>
      <w:r>
        <w:rPr>
          <w:rFonts w:ascii="思源黑体 Bold" w:eastAsia="思源黑体 Bold" w:hAnsi="思源黑体 Bold" w:cs="思源黑体 Bold" w:hint="eastAsia"/>
          <w:color w:val="4472C4" w:themeColor="accent5"/>
          <w:sz w:val="84"/>
          <w:szCs w:val="84"/>
          <w:lang w:val="en-US" w:eastAsia="zh-CN"/>
          <w14:textFill>
            <w14:solidFill>
              <w14:schemeClr w14:val="accent5"/>
            </w14:solidFill>
          </w14:textFill>
        </w:rPr>
        <w:t>专利价值评估报告</w:t>
      </w:r>
    </w:p>
    <w:p>
      <w:pPr>
        <w:rPr>
          <w:rFonts w:hint="eastAsia"/>
          <w:lang w:val="en-US" w:eastAsia="zh-CN"/>
        </w:rPr>
      </w:pPr>
    </w:p>
    <w:p>
      <w:pPr>
        <w:rPr>
          <w:rFonts w:hint="eastAsia"/>
          <w:lang w:val="en-US" w:eastAsia="zh-CN"/>
        </w:rPr>
      </w:pPr>
    </w:p>
    <w:p>
      <w:pPr>
        <w:rPr>
          <w:rFonts w:hint="eastAsia"/>
          <w:lang w:val="en-US" w:eastAsia="zh-CN"/>
        </w:rPr>
      </w:pPr>
      <w:r>
        <w:rPr>
          <w:sz w:val="28"/>
        </w:rPr>
        <mc:AlternateContent>
          <mc:Choice Requires="wps">
            <w:drawing>
              <wp:anchor distT="0" distB="0" distL="114300" distR="114300" simplePos="0" relativeHeight="251658240" behindDoc="0" locked="0" layoutInCell="1" allowOverlap="1">
                <wp:simplePos x="0" y="0"/>
                <wp:positionH relativeFrom="column">
                  <wp:posOffset>831215</wp:posOffset>
                </wp:positionH>
                <wp:positionV relativeFrom="page">
                  <wp:posOffset>3478530</wp:posOffset>
                </wp:positionV>
                <wp:extent cx="4592320" cy="3110230"/>
                <wp:effectExtent l="0" t="0" r="0" b="0"/>
                <wp:wrapNone/>
                <wp:docPr id="5" name="文本框 5"/>
                <wp:cNvGraphicFramePr/>
                <a:graphic xmlns:a="http://schemas.openxmlformats.org/drawingml/2006/main">
                  <a:graphicData uri="http://schemas.microsoft.com/office/word/2010/wordprocessingShape">
                    <wps:wsp xmlns:wps="http://schemas.microsoft.com/office/word/2010/wordprocessingShape">
                      <wps:cNvSpPr txBox="1"/>
                      <wps:spPr>
                        <a:xfrm>
                          <a:off x="0" y="0"/>
                          <a:ext cx="4592320" cy="31102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思源黑体 CN Light" w:eastAsia="思源黑体 CN Light" w:hAnsi="思源黑体 CN Light" w:cs="思源黑体 CN Light" w:hint="eastAsia"/>
                                <w:color w:val="auto"/>
                                <w:sz w:val="40"/>
                                <w:szCs w:val="44"/>
                                <w:lang w:val="en-US" w:eastAsia="zh-CN"/>
                              </w:rPr>
                            </w:pP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type id="_x0000_t202" coordsize="21600,21600" o:spt="202" path="m,l,21600r21600,l21600,xe">
                <v:stroke joinstyle="miter"/>
                <v:path gradientshapeok="t" o:connecttype="rect"/>
              </v:shapetype>
              <v:shape id="_x0000_s1026" o:spid="_x0000_s1025" type="#_x0000_t202" style="width:361.6pt;height:244.9pt;margin-top:273.9pt;margin-left:65.45pt;mso-height-relative:page;mso-position-vertical-relative:page;mso-width-relative:page;position:absolute;z-index:251659264" coordsize="21600,21600" filled="f" stroked="f">
                <o:lock v:ext="edit" aspectratio="f"/>
                <v:textbox>
                  <w:txbxContent>
                    <w:p>
                      <w:pPr>
                        <w:jc w:val="center"/>
                        <w:rPr>
                          <w:rFonts w:ascii="思源黑体 CN Light" w:eastAsia="思源黑体 CN Light" w:hAnsi="思源黑体 CN Light" w:cs="思源黑体 CN Light" w:hint="eastAsia"/>
                          <w:color w:val="auto"/>
                          <w:sz w:val="40"/>
                          <w:szCs w:val="44"/>
                          <w:lang w:val="en-US" w:eastAsia="zh-CN"/>
                        </w:rPr>
                      </w:pPr>
                    </w:p>
                  </w:txbxContent>
                </v:textbox>
              </v:shape>
            </w:pict>
          </mc:Fallback>
        </mc:AlternateContent>
      </w:r>
    </w:p>
    <w:p>
      <w:pPr>
        <w:keepNext w:val="0"/>
        <w:keepLines w:val="0"/>
        <w:widowControl/>
        <w:suppressLineNumbers w:val="0"/>
        <w:ind w:left="840" w:firstLine="420" w:leftChars="0" w:firstLineChars="0"/>
        <w:jc w:val="left"/>
        <w:rPr>
          <w:rFonts w:hint="default"/>
          <w:b w:val="0"/>
          <w:bCs w:val="0"/>
          <w:color w:val="595959" w:themeColor="text1" w:themeTint="A6"/>
          <w:sz w:val="32"/>
          <w:szCs w:val="32"/>
          <w:lang w:val="en-US"/>
          <w14:textFill>
            <w14:solidFill>
              <w14:schemeClr w14:val="tx1">
                <w14:lumMod w14:val="65000"/>
                <w14:lumOff w14:val="35000"/>
              </w14:schemeClr>
            </w14:solidFill>
          </w14:textFill>
        </w:rPr>
      </w:pP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申请号</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CN201611148428.6</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 </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   </w:t>
      </w:r>
      <w:r>
        <w:rPr>
          <w:rFonts w:ascii="Times New Roman" w:hAnsi="Times New Roman"/>
          <w:b/>
          <w:color w:val="00CC00"/>
          <w:sz w:val="32"/>
          <w:szCs w:val="32"/>
        </w:rPr>
        <w:t>有效</w:t>
      </w:r>
    </w:p>
    <w:p>
      <w:pPr>
        <w:keepNext w:val="0"/>
        <w:keepLines w:val="0"/>
        <w:widowControl/>
        <w:suppressLineNumbers w:val="0"/>
        <w:ind w:left="840" w:firstLine="420" w:leftChars="0" w:firstLineChars="0"/>
        <w:jc w:val="left"/>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申请日：</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2016年12月13日</w:t>
      </w:r>
    </w:p>
    <w:p>
      <w:pPr>
        <w:keepNext w:val="0"/>
        <w:keepLines w:val="0"/>
        <w:widowControl/>
        <w:suppressLineNumbers w:val="0"/>
        <w:ind w:left="840" w:firstLine="420" w:leftChars="0" w:firstLineChars="0"/>
        <w:jc w:val="left"/>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发明名称：</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海洋污染物监测浮标及控制方法 </w:t>
      </w:r>
    </w:p>
    <w:p>
      <w:pPr>
        <w:keepNext w:val="0"/>
        <w:keepLines w:val="0"/>
        <w:widowControl/>
        <w:suppressLineNumbers w:val="0"/>
        <w:ind w:left="840" w:firstLine="420" w:leftChars="0" w:firstLineChars="0"/>
        <w:jc w:val="left"/>
        <w:rPr>
          <w:b w:val="0"/>
          <w:bCs w:val="0"/>
          <w:color w:val="595959" w:themeColor="text1" w:themeTint="A6"/>
          <w:sz w:val="32"/>
          <w:szCs w:val="32"/>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授权日：</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2018年11月02日 </w:t>
      </w:r>
    </w:p>
    <w:p>
      <w:pPr>
        <w:keepNext w:val="0"/>
        <w:keepLines w:val="0"/>
        <w:widowControl/>
        <w:suppressLineNumbers w:val="0"/>
        <w:ind w:left="840" w:firstLine="420" w:leftChars="0" w:firstLineChars="0"/>
        <w:jc w:val="left"/>
        <w:rPr>
          <w:rFonts w:eastAsiaTheme="minorHAnsi"/>
          <w:color w:val="auto"/>
          <w:sz w:val="32"/>
          <w:szCs w:val="32"/>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专利权人：</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浙江海洋大学</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rPr>
          <w:rFonts w:hint="eastAsia"/>
          <w:lang w:val="en-US" w:eastAsia="zh-CN"/>
        </w:rPr>
      </w:pPr>
      <w:r>
        <w:rPr>
          <w:rFonts w:ascii="思源黑体 CN Light" w:eastAsia="思源黑体 CN Light" w:hAnsi="思源黑体 CN Light" w:cs="思源黑体 CN Light" w:hint="eastAsia"/>
          <w:color w:val="auto"/>
          <w:sz w:val="28"/>
          <w:szCs w:val="28"/>
          <w:lang w:val="en-US" w:eastAsia="zh-CN"/>
        </w:rPr>
        <w:t>2025年01月13日</w:t>
      </w:r>
    </w:p>
    <w:p>
      <w:pPr>
        <w:rPr>
          <w:rFonts w:hint="eastAsia"/>
          <w:lang w:val="en-US" w:eastAsia="zh-CN"/>
        </w:rPr>
      </w:pPr>
    </w:p>
    <w:p>
      <w:pPr>
        <w:rPr>
          <w:rFonts w:hint="eastAsia"/>
          <w:lang w:val="en-US" w:eastAsia="zh-CN"/>
        </w:rPr>
      </w:pPr>
      <w:r>
        <w:rPr>
          <w:color w:val="auto"/>
          <w:sz w:val="28"/>
        </w:rPr>
        <mc:AlternateContent>
          <mc:Choice Requires="wps">
            <w:drawing>
              <wp:anchor distT="0" distB="0" distL="114300" distR="114300" simplePos="0" relativeHeight="251660288" behindDoc="0" locked="0" layoutInCell="1" allowOverlap="1">
                <wp:simplePos x="0" y="0"/>
                <wp:positionH relativeFrom="column">
                  <wp:posOffset>41275</wp:posOffset>
                </wp:positionH>
                <wp:positionV relativeFrom="page">
                  <wp:posOffset>8267700</wp:posOffset>
                </wp:positionV>
                <wp:extent cx="5280025" cy="1187450"/>
                <wp:effectExtent l="0" t="0" r="0" b="0"/>
                <wp:wrapNone/>
                <wp:docPr id="3" name="文本框 3"/>
                <wp:cNvGraphicFramePr/>
                <a:graphic xmlns:a="http://schemas.openxmlformats.org/drawingml/2006/main">
                  <a:graphicData uri="http://schemas.microsoft.com/office/word/2010/wordprocessingShape">
                    <wps:wsp xmlns:wps="http://schemas.microsoft.com/office/word/2010/wordprocessingShape">
                      <wps:cNvSpPr txBox="1"/>
                      <wps:spPr>
                        <a:xfrm>
                          <a:off x="0" y="0"/>
                          <a:ext cx="5280025" cy="11874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widowControl/>
                              <w:suppressLineNumbers w:val="0"/>
                              <w:jc w:val="left"/>
                              <w:rPr>
                                <w:rFonts w:ascii="微软雅黑" w:eastAsia="微软雅黑" w:hAnsi="微软雅黑" w:cs="微软雅黑" w:hint="eastAsia"/>
                                <w:color w:val="595959" w:themeColor="text1" w:themeTint="A6"/>
                                <w14:textFill>
                                  <w14:solidFill>
                                    <w14:schemeClr w14:val="tx1">
                                      <w14:lumMod w14:val="65000"/>
                                      <w14:lumOff w14:val="35000"/>
                                    </w14:schemeClr>
                                  </w14:solidFill>
                                </w14:textFill>
                              </w:rPr>
                            </w:pPr>
                            <w:r>
                              <w:rPr>
                                <w:rFonts w:ascii="微软雅黑" w:eastAsia="微软雅黑" w:hAnsi="微软雅黑" w:cs="微软雅黑" w:hint="eastAsia"/>
                                <w:b/>
                                <w:bCs/>
                                <w:color w:val="595959" w:themeColor="text1" w:themeTint="A6"/>
                                <w:kern w:val="0"/>
                                <w:sz w:val="24"/>
                                <w:szCs w:val="24"/>
                                <w:lang w:val="en-US" w:eastAsia="zh-CN" w:bidi="ar"/>
                                <w14:textFill>
                                  <w14:solidFill>
                                    <w14:schemeClr w14:val="tx1">
                                      <w14:lumMod w14:val="65000"/>
                                      <w14:lumOff w14:val="35000"/>
                                    </w14:schemeClr>
                                  </w14:solidFill>
                                </w14:textFill>
                              </w:rPr>
                              <w:t>免责声明</w:t>
                            </w:r>
                          </w:p>
                          <w:p>
                            <w:pPr>
                              <w:keepNext w:val="0"/>
                              <w:keepLines w:val="0"/>
                              <w:widowControl/>
                              <w:numPr>
                                <w:ilvl w:val="0"/>
                                <w:numId w:val="0"/>
                              </w:numPr>
                              <w:suppressLineNumbers w:val="0"/>
                              <w:ind w:leftChars="0"/>
                              <w:jc w:val="left"/>
                              <w:rPr>
                                <w:rFonts w:ascii="微软雅黑" w:eastAsia="微软雅黑" w:hAnsi="微软雅黑" w:cs="微软雅黑" w:hint="eastAsia"/>
                                <w:color w:val="595959" w:themeColor="text1" w:themeTint="A6"/>
                                <w:lang w:val="en-US" w:eastAsia="zh-CN"/>
                                <w14:textFill>
                                  <w14:solidFill>
                                    <w14:schemeClr w14:val="tx1">
                                      <w14:lumMod w14:val="65000"/>
                                      <w14:lumOff w14:val="35000"/>
                                    </w14:schemeClr>
                                  </w14:solidFill>
                                </w14:textFill>
                              </w:rPr>
                            </w:pPr>
                            <w:r>
                              <w:rPr>
                                <w:rFonts w:ascii="微软雅黑" w:eastAsia="微软雅黑" w:hAnsi="微软雅黑" w:cs="微软雅黑" w:hint="eastAsia"/>
                                <w:color w:val="595959" w:themeColor="text1" w:themeTint="A6"/>
                                <w:kern w:val="0"/>
                                <w:sz w:val="18"/>
                                <w:szCs w:val="18"/>
                                <w:lang w:val="en-US" w:eastAsia="zh-CN" w:bidi="ar"/>
                                <w14:textFill>
                                  <w14:solidFill>
                                    <w14:schemeClr w14:val="tx1">
                                      <w14:lumMod w14:val="65000"/>
                                      <w14:lumOff w14:val="35000"/>
                                    </w14:schemeClr>
                                  </w14:solidFill>
                                </w14:textFill>
                              </w:rPr>
                              <w:t>专利价值评估方法众多，本报告采用层次分析法，经一致性校验后对影响专利法律价值、技术价值、市场价值、战略价值的40余个参数进行建模对专利进行打分，并以官方发布各领域平均许可费用为基准，计算专利价值。本报告结果仅供参考，不作为任何技术、法律依据。</w:t>
                            </w: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 id="_x0000_s1026" o:spid="_x0000_s1026" type="#_x0000_t202" style="width:415.75pt;height:93.5pt;margin-top:651pt;margin-left:3.25pt;mso-height-relative:page;mso-position-vertical-relative:page;mso-width-relative:page;position:absolute;z-index:251661312" coordsize="21600,21600" filled="f" stroked="f">
                <o:lock v:ext="edit" aspectratio="f"/>
                <v:textbox>
                  <w:txbxContent>
                    <w:p>
                      <w:pPr>
                        <w:keepNext w:val="0"/>
                        <w:keepLines w:val="0"/>
                        <w:widowControl/>
                        <w:suppressLineNumbers w:val="0"/>
                        <w:jc w:val="left"/>
                        <w:rPr>
                          <w:rFonts w:ascii="微软雅黑" w:eastAsia="微软雅黑" w:hAnsi="微软雅黑" w:cs="微软雅黑" w:hint="eastAsia"/>
                          <w:color w:val="595959" w:themeColor="text1" w:themeTint="A6"/>
                          <w14:textFill>
                            <w14:solidFill>
                              <w14:schemeClr w14:val="tx1">
                                <w14:lumMod w14:val="65000"/>
                                <w14:lumOff w14:val="35000"/>
                              </w14:schemeClr>
                            </w14:solidFill>
                          </w14:textFill>
                        </w:rPr>
                      </w:pPr>
                      <w:r>
                        <w:rPr>
                          <w:rFonts w:ascii="微软雅黑" w:eastAsia="微软雅黑" w:hAnsi="微软雅黑" w:cs="微软雅黑" w:hint="eastAsia"/>
                          <w:b/>
                          <w:bCs/>
                          <w:color w:val="595959" w:themeColor="text1" w:themeTint="A6"/>
                          <w:kern w:val="0"/>
                          <w:sz w:val="24"/>
                          <w:szCs w:val="24"/>
                          <w:lang w:val="en-US" w:eastAsia="zh-CN" w:bidi="ar"/>
                          <w14:textFill>
                            <w14:solidFill>
                              <w14:schemeClr w14:val="tx1">
                                <w14:lumMod w14:val="65000"/>
                                <w14:lumOff w14:val="35000"/>
                              </w14:schemeClr>
                            </w14:solidFill>
                          </w14:textFill>
                        </w:rPr>
                        <w:t>免责声明</w:t>
                      </w:r>
                    </w:p>
                    <w:p>
                      <w:pPr>
                        <w:keepNext w:val="0"/>
                        <w:keepLines w:val="0"/>
                        <w:widowControl/>
                        <w:numPr>
                          <w:ilvl w:val="0"/>
                          <w:numId w:val="0"/>
                        </w:numPr>
                        <w:suppressLineNumbers w:val="0"/>
                        <w:ind w:leftChars="0"/>
                        <w:jc w:val="left"/>
                        <w:rPr>
                          <w:rFonts w:ascii="微软雅黑" w:eastAsia="微软雅黑" w:hAnsi="微软雅黑" w:cs="微软雅黑" w:hint="eastAsia"/>
                          <w:color w:val="595959" w:themeColor="text1" w:themeTint="A6"/>
                          <w:lang w:val="en-US" w:eastAsia="zh-CN"/>
                          <w14:textFill>
                            <w14:solidFill>
                              <w14:schemeClr w14:val="tx1">
                                <w14:lumMod w14:val="65000"/>
                                <w14:lumOff w14:val="35000"/>
                              </w14:schemeClr>
                            </w14:solidFill>
                          </w14:textFill>
                        </w:rPr>
                      </w:pPr>
                      <w:r>
                        <w:rPr>
                          <w:rFonts w:ascii="微软雅黑" w:eastAsia="微软雅黑" w:hAnsi="微软雅黑" w:cs="微软雅黑" w:hint="eastAsia"/>
                          <w:color w:val="595959" w:themeColor="text1" w:themeTint="A6"/>
                          <w:kern w:val="0"/>
                          <w:sz w:val="18"/>
                          <w:szCs w:val="18"/>
                          <w:lang w:val="en-US" w:eastAsia="zh-CN" w:bidi="ar"/>
                          <w14:textFill>
                            <w14:solidFill>
                              <w14:schemeClr w14:val="tx1">
                                <w14:lumMod w14:val="65000"/>
                                <w14:lumOff w14:val="35000"/>
                              </w14:schemeClr>
                            </w14:solidFill>
                          </w14:textFill>
                        </w:rPr>
                        <w:t>专利价值评估方法众多，本报告采用层次分析法，经一致性校验后对影响专利法律价值、技术价值、市场价值、战略价值的40余个参数进行建模对专利进行打分，并以官方发布各领域平均许可费用为基准，计算专利价值。本报告结果仅供参考，不作为任何技术、法律依据。</w:t>
                      </w:r>
                    </w:p>
                  </w:txbxContent>
                </v:textbox>
              </v:shape>
            </w:pict>
          </mc:Fallback>
        </mc:AlternateConten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sectPr>
          <w:headerReference w:type="default" r:id="rId6"/>
          <w:pgSz w:w="11906" w:h="16838"/>
          <w:pgMar w:top="1440" w:right="1800" w:bottom="1440" w:left="1800" w:header="851" w:footer="992" w:gutter="0"/>
          <w:cols w:num="1" w:space="425"/>
          <w:docGrid w:type="lines" w:linePitch="312" w:charSpace="0"/>
        </w:sectPr>
      </w:pPr>
      <w:bookmarkStart w:id="0" w:name="_GoBack"/>
      <w:bookmarkEnd w:id="0"/>
    </w:p>
    <w:p>
      <w:pPr>
        <w:rPr>
          <w:rFonts w:hint="eastAsia"/>
          <w:b/>
          <w:bCs/>
          <w:sz w:val="44"/>
          <w:szCs w:val="52"/>
          <w:lang w:val="en-US" w:eastAsia="zh-CN"/>
        </w:rPr>
      </w:pPr>
      <w:bookmarkStart w:id="1" w:name="_Toc5798461"/>
    </w:p>
    <w:sdt>
      <w:sdtPr>
        <w:id w:val="1116590436"/>
        <w:docPartObj>
          <w:docPartGallery w:val="Table of Contents"/>
          <w:docPartUnique/>
        </w:docPartObj>
      </w:sdtPr>
      <w:sdtContent>
        <w:p>
          <w:pPr>
            <w:pStyle w:val="TOCHeading"/>
          </w:pPr>
          <w:r>
            <w:t>目录</w:t>
          </w:r>
        </w:p>
        <w:p>
          <w:pPr>
            <w:pStyle w:val="TOC1"/>
            <w:tabs>
              <w:tab w:val="left" w:pos="840"/>
              <w:tab w:val="right" w:pos="8296"/>
            </w:tabs>
            <w:rPr>
              <w:rFonts w:asciiTheme="minorHAnsi" w:hAnsiTheme="minorHAnsi"/>
              <w:noProof/>
              <w:sz w:val="22"/>
            </w:rPr>
          </w:pPr>
          <w:r>
            <w:fldChar w:fldCharType="begin"/>
          </w:r>
          <w:r>
            <w:instrText>TOC \o "1-3" \h \z \u</w:instrText>
          </w:r>
          <w:r>
            <w:fldChar w:fldCharType="separate"/>
          </w:r>
          <w:hyperlink w:anchor="_Toc256000000" w:history="1">
            <w:r>
              <w:rPr>
                <w:rStyle w:val="Hyperlink"/>
              </w:rPr>
              <w:t>1.</w:t>
            </w:r>
            <w:r>
              <w:rPr>
                <w:rFonts w:asciiTheme="minorHAnsi" w:hAnsiTheme="minorHAnsi"/>
                <w:noProof/>
                <w:sz w:val="22"/>
              </w:rPr>
              <w:tab/>
            </w:r>
            <w:r>
              <w:rPr>
                <w:rStyle w:val="Hyperlink"/>
                <w:rFonts w:hint="eastAsia"/>
              </w:rPr>
              <w:t>专利评估结果概览</w:t>
            </w:r>
            <w:r>
              <w:tab/>
            </w:r>
            <w:r>
              <w:fldChar w:fldCharType="begin"/>
            </w:r>
            <w:r>
              <w:instrText xml:space="preserve"> PAGEREF _Toc256000000 \h </w:instrText>
            </w:r>
            <w:r>
              <w:fldChar w:fldCharType="separate"/>
            </w:r>
            <w:r>
              <w:t>1</w:t>
            </w:r>
            <w:r>
              <w:fldChar w:fldCharType="end"/>
            </w:r>
          </w:hyperlink>
        </w:p>
        <w:p>
          <w:pPr>
            <w:pStyle w:val="TOC2"/>
            <w:tabs>
              <w:tab w:val="left" w:pos="840"/>
              <w:tab w:val="right" w:pos="8296"/>
            </w:tabs>
            <w:rPr>
              <w:rFonts w:asciiTheme="minorHAnsi" w:hAnsiTheme="minorHAnsi"/>
              <w:noProof/>
              <w:sz w:val="22"/>
            </w:rPr>
          </w:pPr>
          <w:hyperlink w:anchor="_Toc256000001" w:history="1">
            <w:r>
              <w:rPr>
                <w:rStyle w:val="Hyperlink"/>
              </w:rPr>
              <w:t>1.1.</w:t>
            </w:r>
            <w:r>
              <w:rPr>
                <w:rFonts w:asciiTheme="minorHAnsi" w:hAnsiTheme="minorHAnsi"/>
                <w:noProof/>
                <w:sz w:val="22"/>
              </w:rPr>
              <w:tab/>
            </w:r>
            <w:r>
              <w:rPr>
                <w:rStyle w:val="Hyperlink"/>
                <w:rFonts w:hint="eastAsia"/>
              </w:rPr>
              <w:t>专利评分结果</w:t>
            </w:r>
            <w:r>
              <w:tab/>
            </w:r>
            <w:r>
              <w:fldChar w:fldCharType="begin"/>
            </w:r>
            <w:r>
              <w:instrText xml:space="preserve"> PAGEREF _Toc256000001 \h </w:instrText>
            </w:r>
            <w:r>
              <w:fldChar w:fldCharType="separate"/>
            </w:r>
            <w:r>
              <w:t>1</w:t>
            </w:r>
            <w:r>
              <w:fldChar w:fldCharType="end"/>
            </w:r>
          </w:hyperlink>
        </w:p>
        <w:p>
          <w:pPr>
            <w:pStyle w:val="TOC2"/>
            <w:tabs>
              <w:tab w:val="left" w:pos="840"/>
              <w:tab w:val="right" w:pos="8296"/>
            </w:tabs>
            <w:rPr>
              <w:rFonts w:asciiTheme="minorHAnsi" w:hAnsiTheme="minorHAnsi"/>
              <w:noProof/>
              <w:sz w:val="22"/>
            </w:rPr>
          </w:pPr>
          <w:hyperlink w:anchor="_Toc256000002" w:history="1">
            <w:r>
              <w:rPr>
                <w:rStyle w:val="Hyperlink"/>
              </w:rPr>
              <w:t>1.2.</w:t>
            </w:r>
            <w:r>
              <w:rPr>
                <w:rFonts w:asciiTheme="minorHAnsi" w:hAnsiTheme="minorHAnsi"/>
                <w:noProof/>
                <w:sz w:val="22"/>
              </w:rPr>
              <w:tab/>
            </w:r>
            <w:r>
              <w:rPr>
                <w:rStyle w:val="Hyperlink"/>
                <w:rFonts w:hint="eastAsia"/>
              </w:rPr>
              <w:t>专利估值结果</w:t>
            </w:r>
            <w:r>
              <w:tab/>
            </w:r>
            <w:r>
              <w:fldChar w:fldCharType="begin"/>
            </w:r>
            <w:r>
              <w:instrText xml:space="preserve"> PAGEREF _Toc256000002 \h </w:instrText>
            </w:r>
            <w:r>
              <w:fldChar w:fldCharType="separate"/>
            </w:r>
            <w:r>
              <w:t>1</w:t>
            </w:r>
            <w:r>
              <w:fldChar w:fldCharType="end"/>
            </w:r>
          </w:hyperlink>
        </w:p>
        <w:p>
          <w:pPr>
            <w:pStyle w:val="TOC1"/>
            <w:tabs>
              <w:tab w:val="left" w:pos="840"/>
              <w:tab w:val="right" w:pos="8296"/>
            </w:tabs>
            <w:rPr>
              <w:rFonts w:asciiTheme="minorHAnsi" w:hAnsiTheme="minorHAnsi"/>
              <w:noProof/>
              <w:sz w:val="22"/>
            </w:rPr>
          </w:pPr>
          <w:hyperlink w:anchor="_Toc256000003" w:history="1">
            <w:r>
              <w:rPr>
                <w:rStyle w:val="Hyperlink"/>
              </w:rPr>
              <w:t>2.</w:t>
            </w:r>
            <w:r>
              <w:rPr>
                <w:rFonts w:asciiTheme="minorHAnsi" w:hAnsiTheme="minorHAnsi"/>
                <w:noProof/>
                <w:sz w:val="22"/>
              </w:rPr>
              <w:tab/>
            </w:r>
            <w:r>
              <w:rPr>
                <w:rStyle w:val="Hyperlink"/>
                <w:rFonts w:hint="eastAsia"/>
              </w:rPr>
              <w:t>专利画像</w:t>
            </w:r>
            <w:r>
              <w:tab/>
            </w:r>
            <w:r>
              <w:fldChar w:fldCharType="begin"/>
            </w:r>
            <w:r>
              <w:instrText xml:space="preserve"> PAGEREF _Toc256000003 \h </w:instrText>
            </w:r>
            <w:r>
              <w:fldChar w:fldCharType="separate"/>
            </w:r>
            <w:r>
              <w:t>3</w:t>
            </w:r>
            <w:r>
              <w:fldChar w:fldCharType="end"/>
            </w:r>
          </w:hyperlink>
        </w:p>
        <w:p>
          <w:pPr>
            <w:pStyle w:val="TOC2"/>
            <w:tabs>
              <w:tab w:val="right" w:pos="8296"/>
            </w:tabs>
            <w:rPr>
              <w:rFonts w:asciiTheme="minorHAnsi" w:hAnsiTheme="minorHAnsi"/>
              <w:noProof/>
              <w:sz w:val="22"/>
            </w:rPr>
          </w:pPr>
          <w:hyperlink w:anchor="_Toc256000004" w:history="1">
            <w:r>
              <w:rPr>
                <w:rStyle w:val="Hyperlink"/>
              </w:rPr>
              <w:t>2.1</w:t>
            </w:r>
            <w:r>
              <w:rPr>
                <w:rStyle w:val="Hyperlink"/>
              </w:rPr>
              <w:t xml:space="preserve"> </w:t>
            </w:r>
            <w:r>
              <w:rPr>
                <w:rStyle w:val="Hyperlink"/>
                <w:rFonts w:hint="eastAsia"/>
              </w:rPr>
              <w:t>专利基本信息</w:t>
            </w:r>
            <w:r>
              <w:tab/>
            </w:r>
            <w:r>
              <w:fldChar w:fldCharType="begin"/>
            </w:r>
            <w:r>
              <w:instrText xml:space="preserve"> PAGEREF _Toc256000004 \h </w:instrText>
            </w:r>
            <w:r>
              <w:fldChar w:fldCharType="separate"/>
            </w:r>
            <w:r>
              <w:t>3</w:t>
            </w:r>
            <w:r>
              <w:fldChar w:fldCharType="end"/>
            </w:r>
          </w:hyperlink>
        </w:p>
        <w:p>
          <w:pPr>
            <w:pStyle w:val="TOC2"/>
            <w:tabs>
              <w:tab w:val="right" w:pos="8296"/>
            </w:tabs>
            <w:rPr>
              <w:rFonts w:asciiTheme="minorHAnsi" w:hAnsiTheme="minorHAnsi"/>
              <w:noProof/>
              <w:sz w:val="22"/>
            </w:rPr>
          </w:pPr>
          <w:hyperlink w:anchor="_Toc256000005" w:history="1">
            <w:r>
              <w:rPr>
                <w:rStyle w:val="Hyperlink"/>
              </w:rPr>
              <w:t>2.2</w:t>
            </w:r>
            <w:r>
              <w:rPr>
                <w:rStyle w:val="Hyperlink"/>
              </w:rPr>
              <w:t xml:space="preserve"> </w:t>
            </w:r>
            <w:r>
              <w:rPr>
                <w:rStyle w:val="Hyperlink"/>
                <w:rFonts w:hint="eastAsia"/>
              </w:rPr>
              <w:t>专利事务公告信息</w:t>
            </w:r>
            <w:r>
              <w:tab/>
            </w:r>
            <w:r>
              <w:fldChar w:fldCharType="begin"/>
            </w:r>
            <w:r>
              <w:instrText xml:space="preserve"> PAGEREF _Toc256000005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06" w:history="1">
            <w:r>
              <w:rPr>
                <w:rStyle w:val="Hyperlink"/>
              </w:rPr>
              <w:t>2.3</w:t>
            </w:r>
            <w:r>
              <w:rPr>
                <w:rStyle w:val="Hyperlink"/>
              </w:rPr>
              <w:t xml:space="preserve"> </w:t>
            </w:r>
            <w:r>
              <w:rPr>
                <w:rStyle w:val="Hyperlink"/>
                <w:rFonts w:hint="eastAsia"/>
              </w:rPr>
              <w:t>专利引证信息</w:t>
            </w:r>
            <w:r>
              <w:tab/>
            </w:r>
            <w:r>
              <w:fldChar w:fldCharType="begin"/>
            </w:r>
            <w:r>
              <w:instrText xml:space="preserve"> PAGEREF _Toc256000006 \h </w:instrText>
            </w:r>
            <w:r>
              <w:fldChar w:fldCharType="separate"/>
            </w:r>
            <w:r>
              <w:t>5</w:t>
            </w:r>
            <w:r>
              <w:fldChar w:fldCharType="end"/>
            </w:r>
          </w:hyperlink>
        </w:p>
        <w:p>
          <w:pPr>
            <w:pStyle w:val="TOC3"/>
            <w:tabs>
              <w:tab w:val="right" w:pos="8296"/>
            </w:tabs>
            <w:rPr>
              <w:rFonts w:asciiTheme="minorHAnsi" w:hAnsiTheme="minorHAnsi"/>
              <w:noProof/>
              <w:sz w:val="22"/>
            </w:rPr>
          </w:pPr>
          <w:hyperlink w:anchor="_Toc256000007" w:history="1">
            <w:r>
              <w:rPr>
                <w:rStyle w:val="Hyperlink"/>
              </w:rPr>
              <w:t>2.3.1</w:t>
            </w:r>
            <w:r>
              <w:rPr>
                <w:rStyle w:val="Hyperlink"/>
              </w:rPr>
              <w:t xml:space="preserve"> </w:t>
            </w:r>
            <w:r>
              <w:rPr>
                <w:rStyle w:val="Hyperlink"/>
                <w:rFonts w:hint="eastAsia"/>
              </w:rPr>
              <w:t>简单同族引证专利</w:t>
            </w:r>
            <w:r>
              <w:tab/>
            </w:r>
            <w:r>
              <w:fldChar w:fldCharType="begin"/>
            </w:r>
            <w:r>
              <w:instrText xml:space="preserve"> PAGEREF _Toc256000007 \h </w:instrText>
            </w:r>
            <w:r>
              <w:fldChar w:fldCharType="separate"/>
            </w:r>
            <w:r>
              <w:t>5</w:t>
            </w:r>
            <w:r>
              <w:fldChar w:fldCharType="end"/>
            </w:r>
          </w:hyperlink>
        </w:p>
        <w:p>
          <w:pPr>
            <w:pStyle w:val="TOC3"/>
            <w:tabs>
              <w:tab w:val="right" w:pos="8296"/>
            </w:tabs>
            <w:rPr>
              <w:rFonts w:asciiTheme="minorHAnsi" w:hAnsiTheme="minorHAnsi"/>
              <w:noProof/>
              <w:sz w:val="22"/>
            </w:rPr>
          </w:pPr>
          <w:hyperlink w:anchor="_Toc256000008" w:history="1">
            <w:r>
              <w:rPr>
                <w:rStyle w:val="Hyperlink"/>
                <w:rFonts w:hint="eastAsia"/>
              </w:rPr>
              <w:t>2.4.2 简单同族引证</w:t>
            </w:r>
            <w:r>
              <w:tab/>
            </w:r>
            <w:r>
              <w:fldChar w:fldCharType="begin"/>
            </w:r>
            <w:r>
              <w:instrText xml:space="preserve"> PAGEREF _Toc256000008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09" w:history="1">
            <w:r>
              <w:rPr>
                <w:rStyle w:val="Hyperlink"/>
              </w:rPr>
              <w:t>2.4</w:t>
            </w:r>
            <w:r>
              <w:rPr>
                <w:rStyle w:val="Hyperlink"/>
              </w:rPr>
              <w:t xml:space="preserve"> </w:t>
            </w:r>
            <w:r>
              <w:rPr>
                <w:rStyle w:val="Hyperlink"/>
                <w:rFonts w:hint="eastAsia"/>
              </w:rPr>
              <w:t>专利运营信息</w:t>
            </w:r>
            <w:r>
              <w:tab/>
            </w:r>
            <w:r>
              <w:fldChar w:fldCharType="begin"/>
            </w:r>
            <w:r>
              <w:instrText xml:space="preserve"> PAGEREF _Toc256000009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10" w:history="1">
            <w:r>
              <w:rPr>
                <w:rStyle w:val="Hyperlink"/>
              </w:rPr>
              <w:t>2.5</w:t>
            </w:r>
            <w:r>
              <w:rPr>
                <w:rStyle w:val="Hyperlink"/>
              </w:rPr>
              <w:t xml:space="preserve"> </w:t>
            </w:r>
            <w:r>
              <w:rPr>
                <w:rStyle w:val="Hyperlink"/>
                <w:rFonts w:hint="eastAsia"/>
              </w:rPr>
              <w:t>专利复审/无效/诉讼信息</w:t>
            </w:r>
            <w:r>
              <w:tab/>
            </w:r>
            <w:r>
              <w:fldChar w:fldCharType="begin"/>
            </w:r>
            <w:r>
              <w:instrText xml:space="preserve"> PAGEREF _Toc256000010 \h </w:instrText>
            </w:r>
            <w:r>
              <w:fldChar w:fldCharType="separate"/>
            </w:r>
            <w:r>
              <w:t>6</w:t>
            </w:r>
            <w:r>
              <w:fldChar w:fldCharType="end"/>
            </w:r>
          </w:hyperlink>
        </w:p>
        <w:p>
          <w:pPr>
            <w:pStyle w:val="TOC1"/>
            <w:tabs>
              <w:tab w:val="left" w:pos="840"/>
              <w:tab w:val="right" w:pos="8296"/>
            </w:tabs>
            <w:rPr>
              <w:rFonts w:asciiTheme="minorHAnsi" w:hAnsiTheme="minorHAnsi"/>
              <w:noProof/>
              <w:sz w:val="22"/>
            </w:rPr>
          </w:pPr>
          <w:hyperlink w:anchor="_Toc256000011" w:history="1">
            <w:r>
              <w:rPr>
                <w:rStyle w:val="Hyperlink"/>
              </w:rPr>
              <w:t>3.</w:t>
            </w:r>
            <w:r>
              <w:rPr>
                <w:rFonts w:asciiTheme="minorHAnsi" w:hAnsiTheme="minorHAnsi"/>
                <w:noProof/>
                <w:sz w:val="22"/>
              </w:rPr>
              <w:tab/>
            </w:r>
            <w:r>
              <w:rPr>
                <w:rStyle w:val="Hyperlink"/>
                <w:rFonts w:hint="eastAsia"/>
              </w:rPr>
              <w:t>专利评分详情</w:t>
            </w:r>
            <w:r>
              <w:tab/>
            </w:r>
            <w:r>
              <w:fldChar w:fldCharType="begin"/>
            </w:r>
            <w:r>
              <w:instrText xml:space="preserve"> PAGEREF _Toc256000011 \h </w:instrText>
            </w:r>
            <w:r>
              <w:fldChar w:fldCharType="separate"/>
            </w:r>
            <w:r>
              <w:t>6</w:t>
            </w:r>
            <w:r>
              <w:fldChar w:fldCharType="end"/>
            </w:r>
          </w:hyperlink>
        </w:p>
        <w:p>
          <w:pPr>
            <w:pStyle w:val="TOC2"/>
            <w:tabs>
              <w:tab w:val="right" w:pos="8296"/>
            </w:tabs>
            <w:rPr>
              <w:rFonts w:asciiTheme="minorHAnsi" w:hAnsiTheme="minorHAnsi"/>
              <w:noProof/>
              <w:sz w:val="22"/>
            </w:rPr>
          </w:pPr>
          <w:hyperlink w:anchor="_Toc256000012" w:history="1">
            <w:r>
              <w:rPr>
                <w:rStyle w:val="Hyperlink"/>
              </w:rPr>
              <w:t>3.1</w:t>
            </w:r>
            <w:r>
              <w:rPr>
                <w:rStyle w:val="Hyperlink"/>
              </w:rPr>
              <w:t xml:space="preserve"> </w:t>
            </w:r>
            <w:r>
              <w:rPr>
                <w:rStyle w:val="Hyperlink"/>
                <w:rFonts w:hint="eastAsia"/>
              </w:rPr>
              <w:t>法律价值评分详情</w:t>
            </w:r>
            <w:r>
              <w:tab/>
            </w:r>
            <w:r>
              <w:fldChar w:fldCharType="begin"/>
            </w:r>
            <w:r>
              <w:instrText xml:space="preserve"> PAGEREF _Toc256000012 \h </w:instrText>
            </w:r>
            <w:r>
              <w:fldChar w:fldCharType="separate"/>
            </w:r>
            <w:r>
              <w:t>6</w:t>
            </w:r>
            <w:r>
              <w:fldChar w:fldCharType="end"/>
            </w:r>
          </w:hyperlink>
        </w:p>
        <w:p>
          <w:pPr>
            <w:pStyle w:val="TOC2"/>
            <w:tabs>
              <w:tab w:val="right" w:pos="8296"/>
            </w:tabs>
            <w:rPr>
              <w:rFonts w:asciiTheme="minorHAnsi" w:hAnsiTheme="minorHAnsi"/>
              <w:noProof/>
              <w:sz w:val="22"/>
            </w:rPr>
          </w:pPr>
          <w:hyperlink w:anchor="_Toc256000013" w:history="1">
            <w:r>
              <w:rPr>
                <w:rStyle w:val="Hyperlink"/>
              </w:rPr>
              <w:t>3.2</w:t>
            </w:r>
            <w:r>
              <w:rPr>
                <w:rStyle w:val="Hyperlink"/>
              </w:rPr>
              <w:t xml:space="preserve"> </w:t>
            </w:r>
            <w:r>
              <w:rPr>
                <w:rStyle w:val="Hyperlink"/>
                <w:rFonts w:hint="eastAsia"/>
              </w:rPr>
              <w:t>技术价值评分详情</w:t>
            </w:r>
            <w:r>
              <w:tab/>
            </w:r>
            <w:r>
              <w:fldChar w:fldCharType="begin"/>
            </w:r>
            <w:r>
              <w:instrText xml:space="preserve"> PAGEREF _Toc256000013 \h </w:instrText>
            </w:r>
            <w:r>
              <w:fldChar w:fldCharType="separate"/>
            </w:r>
            <w:r>
              <w:t>8</w:t>
            </w:r>
            <w:r>
              <w:fldChar w:fldCharType="end"/>
            </w:r>
          </w:hyperlink>
        </w:p>
        <w:p>
          <w:pPr>
            <w:pStyle w:val="TOC2"/>
            <w:tabs>
              <w:tab w:val="right" w:pos="8296"/>
            </w:tabs>
            <w:rPr>
              <w:rFonts w:asciiTheme="minorHAnsi" w:hAnsiTheme="minorHAnsi"/>
              <w:noProof/>
              <w:sz w:val="22"/>
            </w:rPr>
          </w:pPr>
          <w:hyperlink w:anchor="_Toc256000014" w:history="1">
            <w:r>
              <w:rPr>
                <w:rStyle w:val="Hyperlink"/>
              </w:rPr>
              <w:t>3.3</w:t>
            </w:r>
            <w:r>
              <w:rPr>
                <w:rStyle w:val="Hyperlink"/>
              </w:rPr>
              <w:t xml:space="preserve"> </w:t>
            </w:r>
            <w:r>
              <w:rPr>
                <w:rStyle w:val="Hyperlink"/>
                <w:rFonts w:hint="eastAsia"/>
              </w:rPr>
              <w:t>市场价值评分详情</w:t>
            </w:r>
            <w:r>
              <w:tab/>
            </w:r>
            <w:r>
              <w:fldChar w:fldCharType="begin"/>
            </w:r>
            <w:r>
              <w:instrText xml:space="preserve"> PAGEREF _Toc256000014 \h </w:instrText>
            </w:r>
            <w:r>
              <w:fldChar w:fldCharType="separate"/>
            </w:r>
            <w:r>
              <w:t>8</w:t>
            </w:r>
            <w:r>
              <w:fldChar w:fldCharType="end"/>
            </w:r>
          </w:hyperlink>
        </w:p>
        <w:p>
          <w:pPr>
            <w:pStyle w:val="TOC2"/>
            <w:tabs>
              <w:tab w:val="right" w:pos="8296"/>
            </w:tabs>
            <w:rPr>
              <w:rFonts w:asciiTheme="minorHAnsi" w:hAnsiTheme="minorHAnsi"/>
              <w:noProof/>
              <w:sz w:val="22"/>
            </w:rPr>
          </w:pPr>
          <w:hyperlink w:anchor="_Toc256000015" w:history="1">
            <w:r>
              <w:rPr>
                <w:rStyle w:val="Hyperlink"/>
              </w:rPr>
              <w:t>3.4</w:t>
            </w:r>
            <w:r>
              <w:rPr>
                <w:rStyle w:val="Hyperlink"/>
              </w:rPr>
              <w:t xml:space="preserve"> </w:t>
            </w:r>
            <w:r>
              <w:rPr>
                <w:rStyle w:val="Hyperlink"/>
                <w:rFonts w:hint="eastAsia"/>
              </w:rPr>
              <w:t>战略价值评分详情</w:t>
            </w:r>
            <w:r>
              <w:tab/>
            </w:r>
            <w:r>
              <w:fldChar w:fldCharType="begin"/>
            </w:r>
            <w:r>
              <w:instrText xml:space="preserve"> PAGEREF _Toc256000015 \h </w:instrText>
            </w:r>
            <w:r>
              <w:fldChar w:fldCharType="separate"/>
            </w:r>
            <w:r>
              <w:t>9</w:t>
            </w:r>
            <w:r>
              <w:fldChar w:fldCharType="end"/>
            </w:r>
          </w:hyperlink>
        </w:p>
        <w:p>
          <w:pPr>
            <w:pStyle w:val="TOC1"/>
            <w:tabs>
              <w:tab w:val="left" w:pos="840"/>
              <w:tab w:val="right" w:pos="8296"/>
            </w:tabs>
            <w:rPr>
              <w:rFonts w:asciiTheme="minorHAnsi" w:hAnsiTheme="minorHAnsi"/>
              <w:noProof/>
              <w:sz w:val="22"/>
            </w:rPr>
          </w:pPr>
          <w:hyperlink w:anchor="_Toc256000016" w:history="1">
            <w:r>
              <w:rPr>
                <w:rStyle w:val="Hyperlink"/>
                <w:rFonts w:hint="eastAsia"/>
              </w:rPr>
              <w:t>4.</w:t>
            </w:r>
            <w:r>
              <w:rPr>
                <w:rFonts w:asciiTheme="minorHAnsi" w:hAnsiTheme="minorHAnsi" w:hint="eastAsia"/>
                <w:noProof/>
                <w:sz w:val="22"/>
              </w:rPr>
              <w:tab/>
            </w:r>
            <w:r>
              <w:rPr>
                <w:rStyle w:val="Hyperlink"/>
                <w:rFonts w:hint="eastAsia"/>
              </w:rPr>
              <w:t>领域分析</w:t>
            </w:r>
            <w:r>
              <w:tab/>
            </w:r>
            <w:r>
              <w:fldChar w:fldCharType="begin"/>
            </w:r>
            <w:r>
              <w:instrText xml:space="preserve"> PAGEREF _Toc256000016 \h </w:instrText>
            </w:r>
            <w:r>
              <w:fldChar w:fldCharType="separate"/>
            </w:r>
            <w:r>
              <w:t>10</w:t>
            </w:r>
            <w:r>
              <w:fldChar w:fldCharType="end"/>
            </w:r>
          </w:hyperlink>
        </w:p>
        <w:p>
          <w:pPr>
            <w:pStyle w:val="TOC2"/>
            <w:tabs>
              <w:tab w:val="right" w:pos="8296"/>
            </w:tabs>
            <w:rPr>
              <w:rFonts w:asciiTheme="minorHAnsi" w:hAnsiTheme="minorHAnsi"/>
              <w:noProof/>
              <w:sz w:val="22"/>
            </w:rPr>
          </w:pPr>
          <w:hyperlink w:anchor="_Toc256000017" w:history="1">
            <w:r>
              <w:rPr>
                <w:rStyle w:val="Hyperlink"/>
              </w:rPr>
              <w:t>4.1</w:t>
            </w:r>
            <w:r>
              <w:rPr>
                <w:rStyle w:val="Hyperlink"/>
              </w:rPr>
              <w:t xml:space="preserve"> </w:t>
            </w:r>
            <w:r>
              <w:rPr>
                <w:rStyle w:val="Hyperlink"/>
                <w:rFonts w:hint="eastAsia"/>
              </w:rPr>
              <w:t>市场价值度</w:t>
            </w:r>
            <w:r>
              <w:tab/>
            </w:r>
            <w:r>
              <w:fldChar w:fldCharType="begin"/>
            </w:r>
            <w:r>
              <w:instrText xml:space="preserve"> PAGEREF _Toc256000017 \h </w:instrText>
            </w:r>
            <w:r>
              <w:fldChar w:fldCharType="separate"/>
            </w:r>
            <w:r>
              <w:t>10</w:t>
            </w:r>
            <w:r>
              <w:fldChar w:fldCharType="end"/>
            </w:r>
          </w:hyperlink>
        </w:p>
        <w:p>
          <w:pPr>
            <w:pStyle w:val="TOC2"/>
            <w:tabs>
              <w:tab w:val="right" w:pos="8296"/>
            </w:tabs>
            <w:rPr>
              <w:rFonts w:asciiTheme="minorHAnsi" w:hAnsiTheme="minorHAnsi"/>
              <w:noProof/>
              <w:sz w:val="22"/>
            </w:rPr>
          </w:pPr>
          <w:hyperlink w:anchor="_Toc256000018" w:history="1">
            <w:r>
              <w:rPr>
                <w:rStyle w:val="Hyperlink"/>
              </w:rPr>
              <w:t>4.2</w:t>
            </w:r>
            <w:r>
              <w:rPr>
                <w:rStyle w:val="Hyperlink"/>
              </w:rPr>
              <w:t xml:space="preserve"> </w:t>
            </w:r>
            <w:r>
              <w:rPr>
                <w:rStyle w:val="Hyperlink"/>
                <w:rFonts w:hint="eastAsia"/>
              </w:rPr>
              <w:t>创造性高度</w:t>
            </w:r>
            <w:r>
              <w:tab/>
            </w:r>
            <w:r>
              <w:fldChar w:fldCharType="begin"/>
            </w:r>
            <w:r>
              <w:instrText xml:space="preserve"> PAGEREF _Toc256000018 \h </w:instrText>
            </w:r>
            <w:r>
              <w:fldChar w:fldCharType="separate"/>
            </w:r>
            <w:r>
              <w:t>10</w:t>
            </w:r>
            <w:r>
              <w:fldChar w:fldCharType="end"/>
            </w:r>
          </w:hyperlink>
        </w:p>
        <w:p>
          <w:r>
            <w:fldChar w:fldCharType="end"/>
          </w:r>
        </w:p>
      </w:sdtContent>
    </w:sdt>
    <w:p>
      <w:pPr>
        <w:rPr>
          <w:rFonts w:hint="eastAsia"/>
          <w:b/>
          <w:bCs/>
          <w:sz w:val="44"/>
          <w:szCs w:val="52"/>
          <w:lang w:val="en-US" w:eastAsia="zh-CN"/>
        </w:rPr>
        <w:sectPr>
          <w:headerReference w:type="default" r:id="rId7"/>
          <w:footerReference w:type="default" r:id="rId8"/>
          <w:footerReference w:type="first" r:id="rId9"/>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cols w:num="1" w:space="425"/>
          <w:docGrid w:type="lines" w:linePitch="312" w:charSpace="0"/>
        </w:sectPr>
      </w:pPr>
    </w:p>
    <w:p>
      <w:pPr>
        <w:rPr>
          <w:rFonts w:hint="eastAsia"/>
          <w:b/>
          <w:bCs/>
          <w:sz w:val="44"/>
          <w:szCs w:val="52"/>
          <w:lang w:val="en-US" w:eastAsia="zh-CN"/>
        </w:rPr>
      </w:pPr>
    </w:p>
    <w:p>
      <w:pPr>
        <w:bidi w:val="0"/>
        <w:jc w:val="center"/>
        <w:rPr>
          <w:rFonts w:hint="eastAsia"/>
          <w:b/>
          <w:bCs/>
          <w:sz w:val="44"/>
          <w:szCs w:val="52"/>
          <w:lang w:val="en-US" w:eastAsia="zh-CN"/>
        </w:rPr>
      </w:pPr>
      <w:r>
        <w:rPr>
          <w:rFonts w:hint="eastAsia"/>
          <w:b/>
          <w:bCs/>
          <w:sz w:val="44"/>
          <w:szCs w:val="52"/>
          <w:lang w:val="en-US" w:eastAsia="zh-CN"/>
        </w:rPr>
        <w:t>专利价值评估报告</w:t>
      </w:r>
    </w:p>
    <w:p>
      <w:pPr>
        <w:pStyle w:val="Heading1"/>
        <w:numPr>
          <w:ilvl w:val="0"/>
          <w:numId w:val="1"/>
        </w:numPr>
        <w:bidi w:val="0"/>
        <w:ind w:left="425" w:hanging="425" w:leftChars="0" w:firstLineChars="0"/>
        <w:rPr>
          <w:rFonts w:hint="eastAsia"/>
          <w:color w:val="auto"/>
          <w:lang w:val="en-US" w:eastAsia="zh-CN"/>
        </w:rPr>
      </w:pPr>
      <w:bookmarkStart w:id="2" w:name="_Toc34826121"/>
      <w:bookmarkStart w:id="3" w:name="_Toc19409"/>
      <w:bookmarkStart w:id="4" w:name="_Toc256000000"/>
      <w:r>
        <w:rPr>
          <w:rFonts w:hint="eastAsia"/>
          <w:color w:val="auto"/>
          <w:lang w:val="en-US" w:eastAsia="zh-CN"/>
        </w:rPr>
        <w:t>专利评估结果概览</w:t>
      </w:r>
      <w:bookmarkEnd w:id="4"/>
      <w:bookmarkEnd w:id="3"/>
      <w:bookmarkEnd w:id="2"/>
    </w:p>
    <w:p>
      <w:pPr>
        <w:pStyle w:val="Heading2"/>
        <w:numPr>
          <w:ilvl w:val="1"/>
          <w:numId w:val="1"/>
        </w:numPr>
        <w:bidi w:val="0"/>
        <w:ind w:left="567" w:hanging="567" w:leftChars="0" w:firstLineChars="0"/>
        <w:rPr>
          <w:rFonts w:hint="default"/>
          <w:color w:val="auto"/>
          <w:lang w:val="en-US" w:eastAsia="zh-CN"/>
        </w:rPr>
      </w:pPr>
      <w:bookmarkStart w:id="5" w:name="_Toc34826122"/>
      <w:bookmarkStart w:id="6" w:name="_Toc3352"/>
      <w:bookmarkStart w:id="7" w:name="_Toc256000001"/>
      <w:r>
        <w:rPr>
          <w:rFonts w:hint="eastAsia"/>
          <w:color w:val="auto"/>
          <w:lang w:val="en-US" w:eastAsia="zh-CN"/>
        </w:rPr>
        <w:t>专利评分结果</w:t>
      </w:r>
      <w:bookmarkEnd w:id="7"/>
      <w:bookmarkEnd w:id="6"/>
      <w:bookmarkEnd w:id="5"/>
    </w:p>
    <w:tbl>
      <w:tblPr>
        <w:tblStyle w:val="TableGrid"/>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
      <w:tblGrid>
        <w:gridCol w:w="1281"/>
        <w:gridCol w:w="1403"/>
        <w:gridCol w:w="1499"/>
        <w:gridCol w:w="3938"/>
      </w:tblGrid>
      <w:tr>
        <w:tblPrEx>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Ex>
        <w:trPr>
          <w:trHeight w:val="408"/>
          <w:jc w:val="center"/>
        </w:trPr>
        <w:tc>
          <w:tcPr>
            <w:tcW w:w="128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1403"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本专利</w:t>
            </w:r>
          </w:p>
        </w:tc>
        <w:tc>
          <w:tcPr>
            <w:tcW w:w="1499"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领域平均</w:t>
            </w:r>
          </w:p>
        </w:tc>
        <w:tc>
          <w:tcPr>
            <w:tcW w:w="3938" w:type="dxa"/>
            <w:shd w:val="clear" w:color="auto" w:fill="BDD6EE" w:themeFill="accent1" w:themeFillTint="66"/>
            <w:vAlign w:val="center"/>
          </w:tcPr>
          <w:p>
            <w:pPr>
              <w:jc w:val="center"/>
              <w:rPr>
                <w:rFonts w:eastAsiaTheme="minorEastAsia" w:hint="eastAsia"/>
                <w:color w:val="auto"/>
                <w:lang w:val="en-US" w:eastAsia="zh-CN"/>
              </w:rPr>
            </w:pPr>
            <w:r>
              <w:rPr>
                <w:rFonts w:ascii="宋体" w:eastAsia="宋体" w:hAnsi="宋体" w:cs="宋体" w:hint="eastAsia"/>
                <w:b/>
                <w:bCs/>
                <w:i w:val="0"/>
                <w:iCs w:val="0"/>
                <w:color w:val="auto"/>
                <w:sz w:val="22"/>
                <w:szCs w:val="22"/>
                <w:u w:val="none"/>
                <w:lang w:val="en-US" w:eastAsia="zh-CN"/>
              </w:rPr>
              <w:t>雷达图</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综合评分</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bCs/>
                <w:color w:val="auto"/>
                <w:kern w:val="0"/>
                <w:sz w:val="22"/>
                <w:szCs w:val="22"/>
                <w:lang w:val="en-US" w:eastAsia="zh-CN" w:bidi="ar"/>
              </w:rPr>
            </w:pPr>
            <w:r>
              <w:rPr>
                <w:rFonts w:ascii="宋体" w:eastAsia="宋体" w:hAnsi="宋体" w:cs="宋体" w:hint="eastAsia"/>
                <w:b/>
                <w:bCs/>
                <w:color w:val="auto"/>
                <w:kern w:val="0"/>
                <w:sz w:val="22"/>
                <w:szCs w:val="22"/>
                <w:lang w:val="en-US" w:eastAsia="zh-CN" w:bidi="ar"/>
              </w:rPr>
              <w:t>75.14</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bCs/>
                <w:color w:val="auto"/>
                <w:kern w:val="0"/>
                <w:sz w:val="22"/>
                <w:szCs w:val="22"/>
                <w:lang w:val="en-US" w:eastAsia="zh-CN" w:bidi="ar"/>
              </w:rPr>
            </w:pPr>
            <w:r>
              <w:rPr>
                <w:rFonts w:ascii="宋体" w:eastAsia="宋体" w:hAnsi="宋体" w:cs="宋体" w:hint="eastAsia"/>
                <w:b/>
                <w:bCs/>
                <w:color w:val="auto"/>
                <w:kern w:val="0"/>
                <w:sz w:val="22"/>
                <w:szCs w:val="22"/>
                <w:lang w:val="en-US" w:eastAsia="zh-CN" w:bidi="ar"/>
              </w:rPr>
              <w:t>70.94</w:t>
            </w:r>
          </w:p>
        </w:tc>
        <w:tc>
          <w:tcPr>
            <w:tcW w:w="3938" w:type="dxa"/>
            <w:vMerge w:val="restart"/>
            <w:shd w:val="clear" w:color="auto" w:fill="FFFFFF" w:themeFill="background1"/>
            <w:vAlign w:val="center"/>
          </w:tcPr>
          <w:p>
            <w:pPr>
              <w:jc w:val="center"/>
              <w:rPr>
                <w:rFonts w:hint="default"/>
                <w:color w:val="auto"/>
                <w:vertAlign w:val="baseline"/>
                <w:lang w:val="en-US" w:eastAsia="zh-CN"/>
              </w:rPr>
            </w:pPr>
          </w:p>
          <w:p>
            <w:pPr>
              <w:jc w:val="center"/>
            </w:pPr>
            <w:r>
              <w:drawing>
                <wp:inline distT="0" distB="0" distL="0" distR="0">
                  <wp:extent cx="2222500" cy="2336474"/>
                  <wp:effectExtent l="0" t="0" r="0" b="0"/>
                  <wp:docPr id="753559013"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559013" name=""/>
                          <pic:cNvPicPr/>
                        </pic:nvPicPr>
                        <pic:blipFill>
                          <a:blip xmlns:r="http://schemas.openxmlformats.org/officeDocument/2006/relationships" r:embed="rId10"/>
                          <a:stretch>
                            <a:fillRect/>
                          </a:stretch>
                        </pic:blipFill>
                        <pic:spPr>
                          <a:xfrm>
                            <a:off x="0" y="0"/>
                            <a:ext cx="2222500" cy="2336474"/>
                          </a:xfrm>
                          <a:prstGeom prst="rect">
                            <a:avLst/>
                          </a:prstGeom>
                        </pic:spPr>
                      </pic:pic>
                    </a:graphicData>
                  </a:graphic>
                </wp:inline>
              </w:drawing>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法律价值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74.19</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67.52</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技术价值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87.17</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85.74</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市场价值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78.14</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69.48</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战略价值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61.05</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61.0</w:t>
            </w:r>
          </w:p>
        </w:tc>
        <w:tc>
          <w:tcPr>
            <w:tcW w:w="3938" w:type="dxa"/>
            <w:vMerge/>
            <w:shd w:val="clear" w:color="auto" w:fill="FFFFFF" w:themeFill="background1"/>
            <w:vAlign w:val="center"/>
          </w:tcPr>
          <w:p>
            <w:pPr>
              <w:jc w:val="center"/>
              <w:rPr>
                <w:rFonts w:hint="eastAsia"/>
                <w:color w:val="auto"/>
                <w:vertAlign w:val="baseline"/>
                <w:lang w:val="en-US" w:eastAsia="zh-CN"/>
              </w:rPr>
            </w:pPr>
          </w:p>
        </w:tc>
      </w:tr>
    </w:tbl>
    <w:p>
      <w:pPr>
        <w:pStyle w:val="Heading2"/>
        <w:numPr>
          <w:ilvl w:val="1"/>
          <w:numId w:val="1"/>
        </w:numPr>
        <w:bidi w:val="0"/>
        <w:ind w:left="567" w:hanging="567" w:leftChars="0" w:firstLineChars="0"/>
        <w:rPr>
          <w:rFonts w:hint="default"/>
          <w:color w:val="auto"/>
          <w:lang w:val="en-US" w:eastAsia="zh-CN"/>
        </w:rPr>
      </w:pPr>
      <w:bookmarkStart w:id="8" w:name="_Toc34826123"/>
      <w:bookmarkStart w:id="9" w:name="_Toc15233"/>
      <w:bookmarkStart w:id="10" w:name="_Toc256000002"/>
      <w:r>
        <w:rPr>
          <w:rFonts w:hint="eastAsia"/>
          <w:color w:val="auto"/>
          <w:lang w:val="en-US" w:eastAsia="zh-CN"/>
        </w:rPr>
        <w:t>专利估值结果</w:t>
      </w:r>
      <w:bookmarkEnd w:id="10"/>
      <w:bookmarkEnd w:id="9"/>
      <w:bookmarkEnd w:id="8"/>
    </w:p>
    <w:p>
      <w:pPr>
        <w:rPr>
          <w:color w:val="auto"/>
        </w:rPr>
      </w:pPr>
    </w:p>
    <w:tbl>
      <w:tblPr>
        <w:tblStyle w:val="TableGrid"/>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
      <w:tblGrid>
        <w:gridCol w:w="2190"/>
        <w:gridCol w:w="2616"/>
        <w:gridCol w:w="3315"/>
      </w:tblGrid>
      <w:tr>
        <w:tblPrEx>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Ex>
        <w:trPr>
          <w:trHeight w:val="635"/>
          <w:jc w:val="center"/>
        </w:trPr>
        <w:tc>
          <w:tcPr>
            <w:tcW w:w="2190" w:type="dxa"/>
            <w:shd w:val="clear" w:color="auto" w:fill="BDD6EE" w:themeFill="accent1" w:themeFillTint="66"/>
            <w:vAlign w:val="center"/>
          </w:tcPr>
          <w:p>
            <w:pPr>
              <w:jc w:val="center"/>
              <w:rPr>
                <w:rFonts w:hint="default"/>
                <w:color w:val="auto"/>
                <w:vertAlign w:val="baseline"/>
                <w:lang w:val="en-US" w:eastAsia="zh-CN"/>
              </w:rPr>
            </w:pPr>
            <w:r>
              <w:rPr>
                <w:rFonts w:hint="eastAsia"/>
                <w:color w:val="auto"/>
                <w:vertAlign w:val="baseline"/>
                <w:lang w:val="en-US" w:eastAsia="zh-CN"/>
              </w:rPr>
              <w:t>币种：人民币</w:t>
            </w:r>
          </w:p>
        </w:tc>
        <w:tc>
          <w:tcPr>
            <w:tcW w:w="261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本专利</w:t>
            </w:r>
          </w:p>
        </w:tc>
        <w:tc>
          <w:tcPr>
            <w:tcW w:w="3315"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领域平均</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2190"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当前估值</w:t>
            </w:r>
          </w:p>
        </w:tc>
        <w:tc>
          <w:tcPr>
            <w:tcW w:w="2616"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56.13</w:t>
            </w:r>
            <w:r>
              <w:rPr>
                <w:rFonts w:hint="eastAsia"/>
                <w:color w:val="auto"/>
                <w:vertAlign w:val="baseline"/>
                <w:lang w:val="en-US" w:eastAsia="zh-CN"/>
              </w:rPr>
              <w:t>万元</w:t>
            </w:r>
          </w:p>
        </w:tc>
        <w:tc>
          <w:tcPr>
            <w:tcW w:w="3315" w:type="dxa"/>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29.86</w:t>
            </w:r>
            <w:r>
              <w:rPr>
                <w:rFonts w:hint="eastAsia"/>
                <w:color w:val="auto"/>
                <w:vertAlign w:val="baseline"/>
                <w:lang w:val="en-US" w:eastAsia="zh-CN"/>
              </w:rPr>
              <w:t>万元</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2190"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最高估值</w:t>
            </w:r>
          </w:p>
        </w:tc>
        <w:tc>
          <w:tcPr>
            <w:tcW w:w="2616"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89.25</w:t>
            </w:r>
            <w:r>
              <w:rPr>
                <w:rFonts w:hint="eastAsia"/>
                <w:color w:val="auto"/>
                <w:vertAlign w:val="baseline"/>
                <w:lang w:val="en-US" w:eastAsia="zh-CN"/>
              </w:rPr>
              <w:t>万元</w:t>
            </w:r>
          </w:p>
        </w:tc>
        <w:tc>
          <w:tcPr>
            <w:tcW w:w="3315"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76.01万元</w:t>
            </w:r>
          </w:p>
        </w:tc>
      </w:tr>
    </w:tbl>
    <w:p>
      <w:pPr>
        <w:jc w:val="left"/>
        <w:rPr>
          <w:rFonts w:ascii="宋体" w:eastAsia="宋体" w:hAnsi="宋体" w:cs="宋体" w:hint="eastAsia"/>
          <w:b/>
          <w:bCs/>
          <w:color w:val="auto"/>
          <w:kern w:val="0"/>
          <w:sz w:val="18"/>
          <w:szCs w:val="18"/>
          <w:lang w:val="en-US" w:eastAsia="zh-CN" w:bidi="ar"/>
        </w:rPr>
      </w:pPr>
    </w:p>
    <w:p>
      <w:pPr>
        <w:jc w:val="left"/>
        <w:rPr>
          <w:rFonts w:ascii="宋体" w:eastAsia="宋体" w:hAnsi="宋体" w:cs="宋体" w:hint="eastAsia"/>
          <w:b/>
          <w:bCs/>
          <w:color w:val="auto"/>
          <w:kern w:val="0"/>
          <w:sz w:val="18"/>
          <w:szCs w:val="18"/>
          <w:lang w:val="en-US" w:eastAsia="zh-CN" w:bidi="ar"/>
        </w:rPr>
      </w:pPr>
      <w:r>
        <w:rPr>
          <w:rFonts w:ascii="宋体" w:eastAsia="宋体" w:hAnsi="宋体" w:cs="宋体" w:hint="eastAsia"/>
          <w:b/>
          <w:bCs/>
          <w:color w:val="auto"/>
          <w:kern w:val="0"/>
          <w:sz w:val="18"/>
          <w:szCs w:val="18"/>
          <w:lang w:val="en-US" w:eastAsia="zh-CN" w:bidi="ar"/>
        </w:rPr>
        <w:t>专利评分依据：</w:t>
      </w:r>
    </w:p>
    <w:p>
      <w:pPr>
        <w:numPr>
          <w:ilvl w:val="0"/>
          <w:numId w:val="2"/>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从法律价值、经济价值、技术价值以及战略价值四个层面对企业专利进行分析，采用对以上四个方面具有影响的40余个专利指标参数，将参数进行归一化处理，根据各参数的重要程度，采用层次分析法（AHP）对专利进行评分，并对结果进行一致性校验。</w:t>
      </w:r>
    </w:p>
    <w:p>
      <w:pPr>
        <w:numPr>
          <w:ilvl w:val="0"/>
          <w:numId w:val="2"/>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AHP层次分析法是将定量分析与定性分析结合起来，用决策者的经验判断各衡量目标之间能否实现的标准之间的相对重要程度，并合理地给出每个决策方案的每个标准的权数，利用权数求出各方案的优劣次序，比较有效地应用于那些难以用定量方法解决的课题，已被广泛应用于专利价值评估中。</w:t>
      </w:r>
    </w:p>
    <w:p>
      <w:pPr>
        <w:jc w:val="left"/>
        <w:rPr>
          <w:rFonts w:ascii="宋体" w:eastAsia="宋体" w:hAnsi="宋体" w:cs="宋体" w:hint="eastAsia"/>
          <w:b/>
          <w:bCs/>
          <w:color w:val="auto"/>
          <w:kern w:val="0"/>
          <w:sz w:val="18"/>
          <w:szCs w:val="18"/>
          <w:lang w:val="en-US" w:eastAsia="zh-CN" w:bidi="ar"/>
        </w:rPr>
      </w:pPr>
      <w:r>
        <w:rPr>
          <w:rFonts w:ascii="宋体" w:eastAsia="宋体" w:hAnsi="宋体" w:cs="宋体" w:hint="eastAsia"/>
          <w:b/>
          <w:bCs/>
          <w:color w:val="auto"/>
          <w:kern w:val="0"/>
          <w:sz w:val="18"/>
          <w:szCs w:val="18"/>
          <w:lang w:val="en-US" w:eastAsia="zh-CN" w:bidi="ar"/>
        </w:rPr>
        <w:t>专利估值依据：</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根据本专利所属的技术领域获取该领域发生许可专利平均分，和国家知识产权局发布的《</w:t>
      </w:r>
      <w:hyperlink r:id="rId11" w:history="1">
        <w:r>
          <w:rPr>
            <w:rStyle w:val="Hyperlink"/>
            <w:rFonts w:ascii="宋体" w:eastAsia="宋体" w:hAnsi="宋体" w:cs="宋体" w:hint="eastAsia"/>
            <w:kern w:val="0"/>
            <w:sz w:val="18"/>
            <w:szCs w:val="18"/>
            <w:lang w:val="en-US" w:eastAsia="zh-CN" w:bidi="ar"/>
          </w:rPr>
          <w:t>“十三五”国民经济行业（门类）专利实施许可统计表</w:t>
        </w:r>
      </w:hyperlink>
      <w:r>
        <w:rPr>
          <w:rFonts w:ascii="宋体" w:eastAsia="宋体" w:hAnsi="宋体" w:cs="宋体" w:hint="eastAsia"/>
          <w:color w:val="auto"/>
          <w:kern w:val="0"/>
          <w:sz w:val="18"/>
          <w:szCs w:val="18"/>
          <w:lang w:val="en-US" w:eastAsia="zh-CN" w:bidi="ar"/>
        </w:rPr>
        <w:t>》中各领域专利平均年许可费对本专利进行估值。</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根据专利评分分布情况和获得评分的难易程度，以该领域许可专利平均分和平均许可年费为基准，预估本专利许可年费。</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根据本专利最高有效期和剩余有效期以及预估的许可年费，对本专利进行估值。</w:t>
      </w:r>
    </w:p>
    <w:p>
      <w:pPr>
        <w:numPr>
          <w:ilvl w:val="0"/>
          <w:numId w:val="0"/>
        </w:numPr>
        <w:bidi w:val="0"/>
        <w:rPr>
          <w:rFonts w:ascii="宋体" w:eastAsia="宋体" w:hAnsi="宋体" w:cs="宋体" w:hint="default"/>
          <w:color w:val="auto"/>
          <w:kern w:val="0"/>
          <w:sz w:val="22"/>
          <w:szCs w:val="22"/>
          <w:lang w:val="en-US" w:eastAsia="zh-CN" w:bidi="ar"/>
        </w:rPr>
        <w:sectPr>
          <w:headerReference w:type="default" r:id="rId12"/>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pgNumType w:fmt="decimal" w:start="1"/>
          <w:cols w:num="1" w:space="425"/>
          <w:docGrid w:type="lines" w:linePitch="312" w:charSpace="0"/>
        </w:sectPr>
      </w:pPr>
    </w:p>
    <w:p>
      <w:pPr>
        <w:pStyle w:val="Heading1"/>
        <w:numPr>
          <w:ilvl w:val="0"/>
          <w:numId w:val="4"/>
        </w:numPr>
        <w:bidi w:val="0"/>
        <w:rPr>
          <w:rFonts w:hint="default"/>
          <w:color w:val="auto"/>
          <w:lang w:val="en-US" w:eastAsia="zh-CN"/>
        </w:rPr>
      </w:pPr>
      <w:bookmarkStart w:id="11" w:name="_Toc34826124"/>
      <w:bookmarkStart w:id="12" w:name="_Toc28221"/>
      <w:bookmarkStart w:id="13" w:name="_Toc256000003"/>
      <w:r>
        <w:rPr>
          <w:rFonts w:hint="eastAsia"/>
          <w:color w:val="auto"/>
          <w:lang w:val="en-US" w:eastAsia="zh-CN"/>
        </w:rPr>
        <w:t>专利画像</w:t>
      </w:r>
      <w:bookmarkEnd w:id="13"/>
      <w:bookmarkEnd w:id="12"/>
      <w:bookmarkEnd w:id="11"/>
    </w:p>
    <w:p>
      <w:pPr>
        <w:pStyle w:val="Heading2"/>
        <w:numPr>
          <w:ilvl w:val="1"/>
          <w:numId w:val="4"/>
        </w:numPr>
        <w:bidi w:val="0"/>
        <w:rPr>
          <w:rFonts w:hint="default"/>
          <w:color w:val="auto"/>
          <w:lang w:val="en-US" w:eastAsia="zh-CN"/>
        </w:rPr>
      </w:pPr>
      <w:bookmarkStart w:id="14" w:name="_Toc34826125"/>
      <w:bookmarkStart w:id="15" w:name="_Toc7698"/>
      <w:bookmarkStart w:id="16" w:name="_Toc256000004"/>
      <w:r>
        <w:rPr>
          <w:rFonts w:hint="eastAsia"/>
          <w:color w:val="auto"/>
          <w:lang w:val="en-US" w:eastAsia="zh-CN"/>
        </w:rPr>
        <w:t>专利基本信息</w:t>
      </w:r>
      <w:bookmarkEnd w:id="16"/>
      <w:bookmarkEnd w:id="15"/>
      <w:bookmarkEnd w:id="14"/>
    </w:p>
    <w:tbl>
      <w:tblPr>
        <w:tblStyle w:val="TableGrid"/>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423"/>
        <w:gridCol w:w="3611"/>
        <w:gridCol w:w="1370"/>
        <w:gridCol w:w="2065"/>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名称</w:t>
            </w:r>
          </w:p>
        </w:tc>
        <w:tc>
          <w:tcPr>
            <w:tcW w:w="7046" w:type="dxa"/>
            <w:gridSpan w:val="3"/>
            <w:vAlign w:val="center"/>
          </w:tcPr>
          <w:p>
            <w:pPr>
              <w:bidi w:val="0"/>
              <w:rPr>
                <w:rFonts w:eastAsiaTheme="minorEastAsia" w:hint="default"/>
                <w:lang w:val="en-US" w:eastAsia="zh-CN"/>
              </w:rPr>
            </w:pPr>
            <w:r>
              <w:rPr>
                <w:rFonts w:hint="eastAsia"/>
                <w:lang w:val="en-US" w:eastAsia="zh-CN"/>
              </w:rPr>
              <w:t>海洋污染物监测浮标及控制方法</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公开号</w:t>
            </w:r>
          </w:p>
        </w:tc>
        <w:tc>
          <w:tcPr>
            <w:tcW w:w="3611" w:type="dxa"/>
            <w:vAlign w:val="center"/>
          </w:tcPr>
          <w:p>
            <w:pPr>
              <w:bidi w:val="0"/>
              <w:rPr>
                <w:rFonts w:eastAsiaTheme="minorEastAsia" w:hint="default"/>
                <w:lang w:val="en-US" w:eastAsia="zh-CN"/>
              </w:rPr>
            </w:pPr>
            <w:r>
              <w:rPr>
                <w:rFonts w:hint="eastAsia"/>
                <w:lang w:val="en-US" w:eastAsia="zh-CN"/>
              </w:rPr>
              <w:t>CN106841550B</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公开日</w:t>
            </w:r>
          </w:p>
        </w:tc>
        <w:tc>
          <w:tcPr>
            <w:tcW w:w="2065" w:type="dxa"/>
            <w:vAlign w:val="center"/>
          </w:tcPr>
          <w:p>
            <w:pPr>
              <w:bidi w:val="0"/>
              <w:rPr>
                <w:rFonts w:eastAsiaTheme="minorEastAsia" w:hint="default"/>
                <w:lang w:val="en-US" w:eastAsia="zh-CN"/>
              </w:rPr>
            </w:pPr>
            <w:r>
              <w:rPr>
                <w:rFonts w:hint="eastAsia"/>
                <w:lang w:val="en-US" w:eastAsia="zh-CN"/>
              </w:rPr>
              <w:t>2018年11月02日</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申请号</w:t>
            </w:r>
          </w:p>
        </w:tc>
        <w:tc>
          <w:tcPr>
            <w:tcW w:w="3611" w:type="dxa"/>
            <w:vAlign w:val="center"/>
          </w:tcPr>
          <w:p>
            <w:pPr>
              <w:bidi w:val="0"/>
              <w:rPr>
                <w:rFonts w:eastAsiaTheme="minorEastAsia" w:hint="default"/>
                <w:lang w:val="en-US" w:eastAsia="zh-CN"/>
              </w:rPr>
            </w:pPr>
            <w:r>
              <w:rPr>
                <w:rFonts w:hint="eastAsia"/>
                <w:lang w:val="en-US" w:eastAsia="zh-CN"/>
              </w:rPr>
              <w:t>CN201611148428.6</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申请日</w:t>
            </w:r>
          </w:p>
        </w:tc>
        <w:tc>
          <w:tcPr>
            <w:tcW w:w="2065" w:type="dxa"/>
            <w:vAlign w:val="center"/>
          </w:tcPr>
          <w:p>
            <w:pPr>
              <w:bidi w:val="0"/>
              <w:rPr>
                <w:rFonts w:eastAsiaTheme="minorEastAsia" w:hint="default"/>
                <w:lang w:val="en-US" w:eastAsia="zh-CN"/>
              </w:rPr>
            </w:pPr>
            <w:r>
              <w:rPr>
                <w:rFonts w:hint="eastAsia"/>
                <w:lang w:val="en-US" w:eastAsia="zh-CN"/>
              </w:rPr>
              <w:t>2016年12月13日</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优先权</w:t>
            </w:r>
          </w:p>
        </w:tc>
        <w:tc>
          <w:tcPr>
            <w:tcW w:w="3611" w:type="dxa"/>
            <w:vAlign w:val="center"/>
          </w:tcPr>
          <w:p>
            <w:pPr>
              <w:bidi w:val="0"/>
              <w:rPr>
                <w:rFonts w:eastAsiaTheme="minorEastAsia" w:hint="default"/>
                <w:lang w:val="en-US" w:eastAsia="zh-CN"/>
              </w:rPr>
            </w:pP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法律状态</w:t>
            </w:r>
          </w:p>
        </w:tc>
        <w:tc>
          <w:tcPr>
            <w:tcW w:w="2065" w:type="dxa"/>
            <w:vAlign w:val="center"/>
          </w:tcPr>
          <w:p>
            <w:pPr>
              <w:bidi w:val="0"/>
              <w:rPr>
                <w:rFonts w:eastAsiaTheme="minorEastAsia" w:hint="default"/>
                <w:lang w:val="en-US" w:eastAsia="zh-CN"/>
              </w:rPr>
            </w:pPr>
            <w:r>
              <w:rPr>
                <w:rFonts w:hint="eastAsia"/>
                <w:lang w:val="en-US" w:eastAsia="zh-CN"/>
              </w:rPr>
              <w:t>有效</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申请人</w:t>
            </w:r>
          </w:p>
        </w:tc>
        <w:tc>
          <w:tcPr>
            <w:tcW w:w="3611" w:type="dxa"/>
            <w:vAlign w:val="center"/>
          </w:tcPr>
          <w:p>
            <w:pPr>
              <w:bidi w:val="0"/>
              <w:rPr>
                <w:rFonts w:eastAsiaTheme="minorEastAsia" w:hint="default"/>
                <w:lang w:val="en-US" w:eastAsia="zh-CN"/>
              </w:rPr>
            </w:pPr>
            <w:r>
              <w:rPr>
                <w:rFonts w:hint="eastAsia"/>
                <w:lang w:val="en-US" w:eastAsia="zh-CN"/>
              </w:rPr>
              <w:t>浙江海洋大学</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发明人</w:t>
            </w:r>
          </w:p>
        </w:tc>
        <w:tc>
          <w:tcPr>
            <w:tcW w:w="2065" w:type="dxa"/>
            <w:vAlign w:val="center"/>
          </w:tcPr>
          <w:p>
            <w:pPr>
              <w:bidi w:val="0"/>
              <w:rPr>
                <w:rFonts w:eastAsiaTheme="minorEastAsia" w:hint="default"/>
                <w:lang w:val="en-US" w:eastAsia="zh-CN"/>
              </w:rPr>
            </w:pPr>
            <w:r>
              <w:rPr>
                <w:rFonts w:hint="eastAsia"/>
                <w:lang w:val="en-US" w:eastAsia="zh-CN"/>
              </w:rPr>
              <w:t>孙静亚,麻跃,王鹏</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代理机构</w:t>
            </w:r>
          </w:p>
        </w:tc>
        <w:tc>
          <w:tcPr>
            <w:tcW w:w="3611" w:type="dxa"/>
            <w:vAlign w:val="center"/>
          </w:tcPr>
          <w:p>
            <w:pPr>
              <w:bidi w:val="0"/>
              <w:rPr>
                <w:rFonts w:hint="default"/>
                <w:lang w:val="en-US" w:eastAsia="zh-CN"/>
              </w:rPr>
            </w:pPr>
            <w:r>
              <w:rPr>
                <w:rFonts w:hint="eastAsia"/>
                <w:lang w:val="en-US" w:eastAsia="zh-CN"/>
              </w:rPr>
              <w:t>杭州杭诚专利事务所有限公司</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代理人</w:t>
            </w:r>
          </w:p>
        </w:tc>
        <w:tc>
          <w:tcPr>
            <w:tcW w:w="2065" w:type="dxa"/>
            <w:vAlign w:val="center"/>
          </w:tcPr>
          <w:p>
            <w:pPr>
              <w:bidi w:val="0"/>
              <w:rPr>
                <w:rFonts w:eastAsiaTheme="minorEastAsia" w:hint="default"/>
                <w:lang w:val="en-US" w:eastAsia="zh-CN"/>
              </w:rPr>
            </w:pPr>
            <w:r>
              <w:rPr>
                <w:rFonts w:hint="eastAsia"/>
                <w:lang w:val="en-US" w:eastAsia="zh-CN"/>
              </w:rPr>
              <w:t>尉伟敏</w:t>
            </w:r>
          </w:p>
        </w:tc>
      </w:tr>
      <w:tr>
        <w:tblPrEx>
          <w:tblW w:w="0" w:type="auto"/>
          <w:tblInd w:w="0" w:type="dxa"/>
          <w:tblLayout w:type="fixed"/>
          <w:tblCellMar>
            <w:top w:w="0" w:type="dxa"/>
            <w:left w:w="108" w:type="dxa"/>
            <w:bottom w:w="0" w:type="dxa"/>
            <w:right w:w="108" w:type="dxa"/>
          </w:tblCellMar>
        </w:tblPrEx>
        <w:trPr>
          <w:trHeight w:val="521"/>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IPC分类</w:t>
            </w:r>
          </w:p>
        </w:tc>
        <w:tc>
          <w:tcPr>
            <w:tcW w:w="7046" w:type="dxa"/>
            <w:gridSpan w:val="3"/>
            <w:vAlign w:val="center"/>
          </w:tcPr>
          <w:p>
            <w:pPr>
              <w:bidi w:val="0"/>
              <w:rPr>
                <w:rFonts w:eastAsiaTheme="minorEastAsia" w:hint="default"/>
                <w:lang w:val="en-US" w:eastAsia="zh-CN"/>
              </w:rPr>
            </w:pPr>
            <w:r>
              <w:rPr>
                <w:rFonts w:hint="eastAsia"/>
                <w:lang w:val="en-US" w:eastAsia="zh-CN"/>
              </w:rPr>
              <w:t>G01N33/18 .水[2006.01]</w:t>
              <w:br/>
              <w:t>G05B19/05 ...可编程序逻辑控制器，例如根据梯形图或功能图模拟信号的逻辑互联[2006.01]</w:t>
              <w:br/>
              <w:t>B63B22/24 .容器式的，即具有贮藏物质的装置 [2006.01]</w:t>
            </w:r>
          </w:p>
        </w:tc>
      </w:tr>
      <w:tr>
        <w:tblPrEx>
          <w:tblW w:w="0" w:type="auto"/>
          <w:tblInd w:w="0" w:type="dxa"/>
          <w:tblLayout w:type="fixed"/>
          <w:tblCellMar>
            <w:top w:w="0" w:type="dxa"/>
            <w:left w:w="108" w:type="dxa"/>
            <w:bottom w:w="0" w:type="dxa"/>
            <w:right w:w="108" w:type="dxa"/>
          </w:tblCellMar>
        </w:tblPrEx>
        <w:trPr>
          <w:trHeight w:val="264"/>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摘要</w:t>
            </w:r>
          </w:p>
        </w:tc>
        <w:tc>
          <w:tcPr>
            <w:tcW w:w="7046" w:type="dxa"/>
            <w:gridSpan w:val="3"/>
            <w:vAlign w:val="center"/>
          </w:tcPr>
          <w:p>
            <w:pPr>
              <w:bidi w:val="0"/>
              <w:rPr>
                <w:rFonts w:eastAsiaTheme="minorEastAsia" w:hint="default"/>
                <w:lang w:val="en-US" w:eastAsia="zh-CN"/>
              </w:rPr>
            </w:pPr>
            <w:r>
              <w:rPr>
                <w:rFonts w:hint="eastAsia"/>
                <w:lang w:val="en-US" w:eastAsia="zh-CN"/>
              </w:rPr>
              <w:t>本发明公开了一种海洋污染物监测浮标及控制方法，包括浮标主体，浮标主体上设有PLC控制器和与PLC控制器电连接的各个电子设备，均以蓄电池供电，所述浮标主体包括上部的半球形的顶盖，顶盖外侧覆以为蓄电池充电的柔性太阳能薄膜电池；所述浮标主体还包括可通过海水同步导通的两个电极，以及可测量两电极间海水电阻的电阻传感器。本发明的有益效果是：在保持监测效果基本不变的前提下，能够大幅减少维护频率；本发明的海洋污染物监测浮标的控制方法的有益效果是，使用实时数据与历史数据比较，结论客观准确，监测手段几乎无需人工干涉最大限度的减少了人员维护频率。</w:t>
            </w:r>
          </w:p>
        </w:tc>
      </w:tr>
      <w:tr>
        <w:tblPrEx>
          <w:tblW w:w="0" w:type="auto"/>
          <w:tblInd w:w="0" w:type="dxa"/>
          <w:tblLayout w:type="fixed"/>
          <w:tblCellMar>
            <w:top w:w="0" w:type="dxa"/>
            <w:left w:w="108" w:type="dxa"/>
            <w:bottom w:w="0" w:type="dxa"/>
            <w:right w:w="108" w:type="dxa"/>
          </w:tblCellMar>
        </w:tblPrEx>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首图</w:t>
            </w:r>
          </w:p>
        </w:tc>
        <w:tc>
          <w:tcPr>
            <w:tcW w:w="7046" w:type="dxa"/>
            <w:gridSpan w:val="3"/>
          </w:tcPr>
          <w:p>
            <w:pPr>
              <w:bidi w:val="0"/>
            </w:pPr>
          </w:p>
          <w:p>
            <w:pPr>
              <w:jc w:val="center"/>
            </w:pPr>
            <w:r>
              <w:drawing>
                <wp:inline distT="0" distB="0" distL="0" distR="0">
                  <wp:extent cx="2222500" cy="3483542"/>
                  <wp:effectExtent l="0" t="0" r="0" b="0"/>
                  <wp:docPr id="1430645984"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645984" name=""/>
                          <pic:cNvPicPr/>
                        </pic:nvPicPr>
                        <pic:blipFill>
                          <a:blip xmlns:r="http://schemas.openxmlformats.org/officeDocument/2006/relationships" r:embed="rId13"/>
                          <a:stretch>
                            <a:fillRect/>
                          </a:stretch>
                        </pic:blipFill>
                        <pic:spPr>
                          <a:xfrm>
                            <a:off x="0" y="0"/>
                            <a:ext cx="2222500" cy="3483542"/>
                          </a:xfrm>
                          <a:prstGeom prst="rect">
                            <a:avLst/>
                          </a:prstGeom>
                        </pic:spPr>
                      </pic:pic>
                    </a:graphicData>
                  </a:graphic>
                </wp:inline>
              </w:drawing>
            </w:r>
          </w:p>
        </w:tc>
      </w:tr>
    </w:tbl>
    <w:p>
      <w:pPr>
        <w:tabs>
          <w:tab w:val="center" w:pos="4153"/>
        </w:tabs>
        <w:rPr>
          <w:rFonts w:hint="eastAsia"/>
          <w:color w:val="auto"/>
          <w:lang w:val="en-US" w:eastAsia="zh-CN"/>
        </w:rPr>
      </w:pPr>
      <w:bookmarkStart w:id="17" w:name="_Toc28841"/>
    </w:p>
    <w:p>
      <w:pPr>
        <w:rPr>
          <w:rFonts w:hint="eastAsia"/>
          <w:color w:val="auto"/>
          <w:lang w:val="en-US" w:eastAsia="zh-CN"/>
        </w:rPr>
      </w:pPr>
      <w:r>
        <w:rPr>
          <w:rFonts w:hint="eastAsia"/>
          <w:color w:val="auto"/>
          <w:lang w:val="en-US" w:eastAsia="zh-CN"/>
        </w:rPr>
        <w:br w:type="page"/>
      </w:r>
    </w:p>
    <w:p>
      <w:pPr>
        <w:pStyle w:val="Heading2"/>
        <w:numPr>
          <w:ilvl w:val="1"/>
          <w:numId w:val="4"/>
        </w:numPr>
        <w:bidi w:val="0"/>
        <w:rPr>
          <w:rFonts w:hint="eastAsia"/>
          <w:color w:val="auto"/>
          <w:lang w:val="en-US" w:eastAsia="zh-CN"/>
        </w:rPr>
      </w:pPr>
      <w:bookmarkStart w:id="18" w:name="_Toc34826126"/>
      <w:bookmarkStart w:id="19" w:name="_Toc256000005"/>
      <w:r>
        <w:rPr>
          <w:rFonts w:hint="eastAsia"/>
          <w:color w:val="auto"/>
          <w:lang w:val="en-US" w:eastAsia="zh-CN"/>
        </w:rPr>
        <w:t>专利事务公告信息</w:t>
      </w:r>
      <w:bookmarkEnd w:id="19"/>
      <w:bookmarkEnd w:id="17"/>
      <w:bookmarkEnd w:id="18"/>
    </w:p>
    <w:p>
      <w:pPr>
        <w:rPr>
          <w:rFonts w:hint="default"/>
          <w:color w:val="auto"/>
          <w:lang w:val="en-US" w:eastAsia="zh-CN"/>
        </w:rPr>
      </w:pPr>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1976"/>
        <w:gridCol w:w="2795"/>
        <w:gridCol w:w="3751"/>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129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日期</w:t>
            </w:r>
          </w:p>
        </w:tc>
        <w:tc>
          <w:tcPr>
            <w:tcW w:w="2940"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法律信息</w:t>
            </w:r>
          </w:p>
        </w:tc>
        <w:tc>
          <w:tcPr>
            <w:tcW w:w="427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具体描述</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20170613</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公开</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公开</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20170707</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实质审查</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实质审查的生效 IPC(主分类):G01N  33/18 申请日:20161213</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20181102</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授权</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授权</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20230124</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专利实施许可合同备案的生效</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专利实施许可合同备案的生效 IPC(主分类):G01N  33/18 合同备案号:X2023980030167 让与人:浙江海洋大学 受让人:浙江蓓萌新能源科技有限公司 发明名称:海洋污染物监测浮标及控制方法 申请日:20161213 申请公布日:20170613 授权公告日:20181102 许可种类:普通许可 备案日期:20230105</w:t>
            </w:r>
          </w:p>
        </w:tc>
      </w:tr>
    </w:tbl>
    <w:p>
      <w:pPr>
        <w:pStyle w:val="Heading2"/>
        <w:numPr>
          <w:ilvl w:val="1"/>
          <w:numId w:val="4"/>
        </w:numPr>
        <w:bidi w:val="0"/>
        <w:rPr>
          <w:rFonts w:hint="eastAsia"/>
          <w:color w:val="auto"/>
          <w:lang w:val="en-US" w:eastAsia="zh-CN"/>
        </w:rPr>
      </w:pPr>
      <w:bookmarkStart w:id="20" w:name="_Toc34826127"/>
      <w:bookmarkStart w:id="21" w:name="_Toc25619"/>
      <w:bookmarkStart w:id="22" w:name="_Toc256000006"/>
      <w:r>
        <w:rPr>
          <w:rFonts w:hint="eastAsia"/>
          <w:color w:val="auto"/>
          <w:lang w:val="en-US" w:eastAsia="zh-CN"/>
        </w:rPr>
        <w:t>专利引证信息</w:t>
      </w:r>
      <w:bookmarkEnd w:id="22"/>
      <w:bookmarkEnd w:id="21"/>
      <w:bookmarkEnd w:id="20"/>
    </w:p>
    <w:p>
      <w:pPr>
        <w:pStyle w:val="Heading3"/>
        <w:numPr>
          <w:ilvl w:val="2"/>
          <w:numId w:val="4"/>
        </w:numPr>
        <w:bidi w:val="0"/>
        <w:rPr>
          <w:rFonts w:hint="default"/>
          <w:color w:val="auto"/>
          <w:lang w:val="en-US" w:eastAsia="zh-CN"/>
        </w:rPr>
      </w:pPr>
      <w:bookmarkStart w:id="23" w:name="_Toc34826128"/>
      <w:bookmarkStart w:id="24" w:name="_Toc21493"/>
      <w:bookmarkStart w:id="25" w:name="_Toc256000007"/>
      <w:r>
        <w:rPr>
          <w:rFonts w:hint="eastAsia"/>
          <w:color w:val="auto"/>
          <w:lang w:val="en-US" w:eastAsia="zh-CN"/>
        </w:rPr>
        <w:t>简单同族引证专利</w:t>
      </w:r>
      <w:bookmarkEnd w:id="25"/>
      <w:bookmarkEnd w:id="24"/>
      <w:bookmarkEnd w:id="23"/>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94"/>
        <w:gridCol w:w="3282"/>
        <w:gridCol w:w="1426"/>
        <w:gridCol w:w="1516"/>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194"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引证专利公开号</w:t>
            </w:r>
          </w:p>
        </w:tc>
        <w:tc>
          <w:tcPr>
            <w:tcW w:w="3282"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专利名称</w:t>
            </w:r>
          </w:p>
        </w:tc>
        <w:tc>
          <w:tcPr>
            <w:tcW w:w="1425"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w:t>
            </w:r>
          </w:p>
        </w:tc>
        <w:tc>
          <w:tcPr>
            <w:tcW w:w="151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公开日</w:t>
            </w:r>
          </w:p>
        </w:tc>
      </w:tr>
    </w:tbl>
    <w:p>
      <w:pPr>
        <w:pStyle w:val="Heading3"/>
        <w:bidi w:val="0"/>
        <w:rPr>
          <w:rFonts w:hint="default"/>
          <w:color w:val="auto"/>
          <w:lang w:val="en-US" w:eastAsia="zh-CN"/>
        </w:rPr>
      </w:pPr>
      <w:bookmarkStart w:id="26" w:name="_Toc34826129"/>
      <w:bookmarkStart w:id="27" w:name="_Toc17112"/>
      <w:bookmarkStart w:id="28" w:name="_Toc256000008"/>
      <w:r>
        <w:rPr>
          <w:rFonts w:hint="eastAsia"/>
          <w:color w:val="auto"/>
          <w:lang w:val="en-US" w:eastAsia="zh-CN"/>
        </w:rPr>
        <w:t>2.4.2 简单同族引证</w:t>
      </w:r>
      <w:bookmarkEnd w:id="28"/>
      <w:bookmarkEnd w:id="27"/>
      <w:bookmarkEnd w:id="26"/>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94"/>
        <w:gridCol w:w="2083"/>
        <w:gridCol w:w="2083"/>
        <w:gridCol w:w="2057"/>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194"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施引专利公开号</w:t>
            </w:r>
          </w:p>
        </w:tc>
        <w:tc>
          <w:tcPr>
            <w:tcW w:w="20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专利名称</w:t>
            </w:r>
          </w:p>
        </w:tc>
        <w:tc>
          <w:tcPr>
            <w:tcW w:w="20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w:t>
            </w:r>
          </w:p>
        </w:tc>
        <w:tc>
          <w:tcPr>
            <w:tcW w:w="205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公开日</w:t>
            </w:r>
          </w:p>
        </w:tc>
      </w:tr>
    </w:tbl>
    <w:p>
      <w:pPr>
        <w:pStyle w:val="Heading2"/>
        <w:numPr>
          <w:ilvl w:val="1"/>
          <w:numId w:val="4"/>
        </w:numPr>
        <w:bidi w:val="0"/>
        <w:rPr>
          <w:rFonts w:hint="eastAsia"/>
          <w:color w:val="auto"/>
          <w:lang w:val="en-US" w:eastAsia="zh-CN"/>
        </w:rPr>
      </w:pPr>
      <w:bookmarkStart w:id="29" w:name="_Toc34826130"/>
      <w:bookmarkStart w:id="30" w:name="_Toc9159"/>
      <w:bookmarkStart w:id="31" w:name="_Toc256000009"/>
      <w:r>
        <w:rPr>
          <w:rFonts w:hint="eastAsia"/>
          <w:color w:val="auto"/>
          <w:lang w:val="en-US" w:eastAsia="zh-CN"/>
        </w:rPr>
        <w:t>专利运营信息</w:t>
      </w:r>
      <w:bookmarkEnd w:id="31"/>
      <w:bookmarkEnd w:id="30"/>
      <w:bookmarkEnd w:id="29"/>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86"/>
        <w:gridCol w:w="2591"/>
        <w:gridCol w:w="33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3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59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c>
          <w:tcPr>
            <w:tcW w:w="33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相关人</w:t>
            </w: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许可次数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浙江蓓萌新能源科技有限公司</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质押次数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保全次数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转让次数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bCs/>
                <w:i w:val="0"/>
                <w:iCs w:val="0"/>
                <w:color w:val="auto"/>
                <w:sz w:val="22"/>
                <w:szCs w:val="22"/>
                <w:u w:val="none"/>
                <w:lang w:val="en-US" w:eastAsia="zh-CN"/>
              </w:rPr>
              <w:t>获奖情况</w:t>
            </w:r>
          </w:p>
        </w:tc>
        <w:tc>
          <w:tcPr>
            <w:tcW w:w="2591" w:type="dxa"/>
            <w:shd w:val="clear" w:color="auto" w:fill="FFFFFF" w:themeFill="background1"/>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p>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bl>
    <w:p>
      <w:pPr>
        <w:pStyle w:val="Heading2"/>
        <w:numPr>
          <w:ilvl w:val="1"/>
          <w:numId w:val="4"/>
        </w:numPr>
        <w:bidi w:val="0"/>
        <w:rPr>
          <w:rFonts w:hint="eastAsia"/>
          <w:color w:val="auto"/>
          <w:lang w:val="en-US" w:eastAsia="zh-CN"/>
        </w:rPr>
      </w:pPr>
      <w:bookmarkStart w:id="32" w:name="_Toc34826131"/>
      <w:bookmarkStart w:id="33" w:name="_Toc31910"/>
      <w:bookmarkStart w:id="34" w:name="_Toc256000010"/>
      <w:r>
        <w:rPr>
          <w:rFonts w:hint="eastAsia"/>
          <w:color w:val="auto"/>
          <w:lang w:val="en-US" w:eastAsia="zh-CN"/>
        </w:rPr>
        <w:t>专利复审/无效/诉讼信息</w:t>
      </w:r>
      <w:bookmarkEnd w:id="34"/>
      <w:bookmarkEnd w:id="33"/>
      <w:bookmarkEnd w:id="32"/>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86"/>
        <w:gridCol w:w="2636"/>
        <w:gridCol w:w="33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3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59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c>
          <w:tcPr>
            <w:tcW w:w="33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相关人</w:t>
            </w: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复审次数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无效次数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诉讼次数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赔偿金额(￥)</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bookmarkEnd w:id="1"/>
    </w:tbl>
    <w:p>
      <w:pPr>
        <w:pStyle w:val="Heading1"/>
        <w:numPr>
          <w:ilvl w:val="0"/>
          <w:numId w:val="4"/>
        </w:numPr>
        <w:bidi w:val="0"/>
        <w:rPr>
          <w:rFonts w:hint="default"/>
          <w:color w:val="auto"/>
          <w:lang w:val="en-US" w:eastAsia="zh-CN"/>
        </w:rPr>
      </w:pPr>
      <w:bookmarkStart w:id="35" w:name="_Toc34826132"/>
      <w:bookmarkStart w:id="36" w:name="_Toc12722"/>
      <w:bookmarkStart w:id="37" w:name="_Toc256000011"/>
      <w:r>
        <w:rPr>
          <w:rFonts w:hint="eastAsia"/>
          <w:color w:val="auto"/>
          <w:lang w:val="en-US" w:eastAsia="zh-CN"/>
        </w:rPr>
        <w:t>专利评分详情</w:t>
      </w:r>
      <w:bookmarkEnd w:id="37"/>
      <w:bookmarkEnd w:id="36"/>
      <w:bookmarkEnd w:id="35"/>
    </w:p>
    <w:p>
      <w:pPr>
        <w:pStyle w:val="Heading2"/>
        <w:numPr>
          <w:ilvl w:val="1"/>
          <w:numId w:val="4"/>
        </w:numPr>
        <w:bidi w:val="0"/>
        <w:rPr>
          <w:rFonts w:hint="eastAsia"/>
          <w:color w:val="auto"/>
          <w:lang w:val="en-US" w:eastAsia="zh-CN"/>
        </w:rPr>
      </w:pPr>
      <w:bookmarkStart w:id="38" w:name="_Toc34826133"/>
      <w:bookmarkStart w:id="39" w:name="_Toc31618"/>
      <w:bookmarkStart w:id="40" w:name="_Toc256000012"/>
      <w:r>
        <w:rPr>
          <w:rFonts w:hint="eastAsia"/>
          <w:color w:val="auto"/>
          <w:lang w:val="en-US" w:eastAsia="zh-CN"/>
        </w:rPr>
        <w:t>法律价值评分详情</w:t>
      </w:r>
      <w:bookmarkEnd w:id="40"/>
      <w:bookmarkEnd w:id="39"/>
      <w:bookmarkEnd w:id="38"/>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204"/>
        <w:gridCol w:w="3340"/>
        <w:gridCol w:w="2856"/>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662"/>
        </w:trPr>
        <w:tc>
          <w:tcPr>
            <w:tcW w:w="231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3515"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7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727"/>
        </w:trPr>
        <w:tc>
          <w:tcPr>
            <w:tcW w:w="2311" w:type="dxa"/>
            <w:vMerge w:val="restart"/>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地域范围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default"/>
                <w:b w:val="0"/>
                <w:bCs w:val="0"/>
                <w:color w:val="auto"/>
                <w:vertAlign w:val="baseline"/>
                <w:lang w:val="en-US" w:eastAsia="zh-CN"/>
              </w:rPr>
            </w:pPr>
            <w:r>
              <w:rPr>
                <w:rFonts w:ascii="宋体" w:eastAsia="宋体" w:hAnsi="宋体" w:cs="宋体" w:hint="eastAsia"/>
                <w:b w:val="0"/>
                <w:bCs w:val="0"/>
                <w:color w:val="auto"/>
                <w:kern w:val="0"/>
                <w:sz w:val="22"/>
                <w:szCs w:val="22"/>
                <w:lang w:val="en-US" w:eastAsia="zh-CN" w:bidi="ar"/>
              </w:rPr>
              <w:t>简单同族国家</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92"/>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简单同族国家数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扩展同族国家</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扩展</w:t>
            </w:r>
            <w:r>
              <w:rPr>
                <w:rFonts w:ascii="宋体" w:eastAsia="宋体" w:hAnsi="宋体" w:cs="宋体"/>
                <w:b w:val="0"/>
                <w:bCs w:val="0"/>
                <w:color w:val="auto"/>
                <w:kern w:val="0"/>
                <w:sz w:val="22"/>
                <w:szCs w:val="22"/>
                <w:lang w:val="en-US" w:eastAsia="zh-CN" w:bidi="ar"/>
              </w:rPr>
              <w:t>同族国家数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bCs/>
                <w:i w:val="0"/>
                <w:iCs w:val="0"/>
                <w:color w:val="auto"/>
                <w:sz w:val="22"/>
                <w:szCs w:val="22"/>
                <w:u w:val="none"/>
                <w:lang w:val="en-US" w:eastAsia="zh-CN"/>
              </w:rPr>
              <w:t>权利范围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申请时权利要求个数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10</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授权时权利要求个数</w:t>
            </w:r>
          </w:p>
        </w:tc>
        <w:tc>
          <w:tcPr>
            <w:tcW w:w="2473"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7</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hint="default"/>
                <w:color w:val="auto"/>
                <w:vertAlign w:val="baseli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default"/>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独立权利要求数量</w:t>
            </w:r>
          </w:p>
        </w:tc>
        <w:tc>
          <w:tcPr>
            <w:tcW w:w="2473" w:type="dxa"/>
            <w:shd w:val="clear" w:color="auto" w:fill="FFFFFF" w:themeFill="background1"/>
            <w:vAlign w:val="center"/>
          </w:tcPr>
          <w:p>
            <w:pPr>
              <w:jc w:val="center"/>
              <w:rPr>
                <w:rFonts w:asciiTheme="minorHAnsi" w:eastAsiaTheme="minorEastAsia" w:hAnsiTheme="minorHAnsi" w:cstheme="minorBidi" w:hint="default"/>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申请时首项权利要求字数</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134</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授权时首项权利要求字数</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252</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权利要求类型</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产品</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时间范围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专利类型</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发明</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剩余有效期</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4352</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专利年龄</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2953</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已付费时长</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2264</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法律稳定性</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b w:val="0"/>
                <w:bCs w:val="0"/>
                <w:color w:val="auto"/>
                <w:kern w:val="0"/>
                <w:sz w:val="22"/>
                <w:szCs w:val="22"/>
                <w:lang w:val="en-US" w:eastAsia="zh-CN" w:bidi="ar"/>
              </w:rPr>
              <w:t>是否授权</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是</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b w:val="0"/>
                <w:bCs w:val="0"/>
                <w:color w:val="auto"/>
                <w:kern w:val="0"/>
                <w:sz w:val="22"/>
                <w:szCs w:val="22"/>
                <w:lang w:val="en-US" w:eastAsia="zh-CN" w:bidi="ar"/>
              </w:rPr>
              <w:t>简单同族</w:t>
            </w:r>
            <w:r>
              <w:rPr>
                <w:rFonts w:ascii="宋体" w:eastAsia="宋体" w:hAnsi="宋体" w:cs="宋体" w:hint="eastAsia"/>
                <w:b w:val="0"/>
                <w:bCs w:val="0"/>
                <w:color w:val="auto"/>
                <w:kern w:val="0"/>
                <w:sz w:val="22"/>
                <w:szCs w:val="22"/>
                <w:lang w:val="en-US" w:eastAsia="zh-CN" w:bidi="ar"/>
              </w:rPr>
              <w:t>授权国别</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是否经历无效</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是否经历复审</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696"/>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是否有代理机构/代理人</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是</w:t>
            </w:r>
          </w:p>
        </w:tc>
      </w:tr>
    </w:tbl>
    <w:p>
      <w:pPr>
        <w:pStyle w:val="Heading2"/>
        <w:numPr>
          <w:ilvl w:val="1"/>
          <w:numId w:val="4"/>
        </w:numPr>
        <w:bidi w:val="0"/>
        <w:rPr>
          <w:rFonts w:hint="eastAsia"/>
          <w:color w:val="auto"/>
          <w:lang w:val="en-US" w:eastAsia="zh-CN"/>
        </w:rPr>
      </w:pPr>
      <w:bookmarkStart w:id="41" w:name="_Toc34826134"/>
      <w:bookmarkStart w:id="42" w:name="_Toc11110"/>
      <w:bookmarkStart w:id="43" w:name="_Toc256000013"/>
      <w:r>
        <w:rPr>
          <w:rFonts w:hint="eastAsia"/>
          <w:color w:val="auto"/>
          <w:lang w:val="en-US" w:eastAsia="zh-CN"/>
        </w:rPr>
        <w:t>技术价值评分详情</w:t>
      </w:r>
      <w:bookmarkEnd w:id="43"/>
      <w:bookmarkEnd w:id="42"/>
      <w:bookmarkEnd w:id="41"/>
    </w:p>
    <w:p>
      <w:pPr>
        <w:rPr>
          <w:rFonts w:hint="eastAsia"/>
          <w:color w:val="auto"/>
          <w:lang w:val="en-US" w:eastAsia="zh-CN"/>
        </w:rPr>
      </w:pPr>
    </w:p>
    <w:tbl>
      <w:tblPr>
        <w:tblStyle w:val="TableGrid"/>
        <w:tblW w:w="8459"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62"/>
        <w:gridCol w:w="3221"/>
        <w:gridCol w:w="3076"/>
      </w:tblGrid>
      <w:tr>
        <w:tblPrEx>
          <w:tblW w:w="8459"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712"/>
        </w:trPr>
        <w:tc>
          <w:tcPr>
            <w:tcW w:w="2394"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8459" w:type="dxa"/>
          <w:tblInd w:w="0" w:type="dxa"/>
          <w:shd w:val="clear" w:color="auto" w:fill="5B9BD5" w:themeFill="accent1"/>
          <w:tblCellMar>
            <w:top w:w="0" w:type="dxa"/>
            <w:left w:w="108" w:type="dxa"/>
            <w:bottom w:w="0" w:type="dxa"/>
            <w:right w:w="108" w:type="dxa"/>
          </w:tblCellMar>
        </w:tblPrEx>
        <w:trPr>
          <w:trHeight w:val="701"/>
        </w:trPr>
        <w:tc>
          <w:tcPr>
            <w:tcW w:w="2394" w:type="dxa"/>
            <w:vMerge w:val="restart"/>
            <w:shd w:val="clear" w:color="auto" w:fill="FFFFFF" w:themeFill="background1"/>
            <w:vAlign w:val="center"/>
          </w:tcPr>
          <w:p>
            <w:pPr>
              <w:tabs>
                <w:tab w:val="left" w:pos="505"/>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技术独立性</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引文个数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引文国别个数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技术先进程度</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是否有PCT同族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简单家族施引专利申请号数量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简单家族施引专利国别个数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发明(设计)人个数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3</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技术应用广度</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附图个数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文献页数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IPC分类号个数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3</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IPC小类个数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3</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技术应用前景</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申请人类型</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大专院校</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申请人数量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战略性新兴产业主分类</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D</w:t>
            </w:r>
          </w:p>
        </w:tc>
      </w:tr>
      <w:tr>
        <w:tblPrEx>
          <w:tblW w:w="8459" w:type="dxa"/>
          <w:tblInd w:w="0" w:type="dxa"/>
          <w:shd w:val="clear" w:color="auto" w:fill="5B9BD5" w:themeFill="accent1"/>
          <w:tblCellMar>
            <w:top w:w="0" w:type="dxa"/>
            <w:left w:w="108" w:type="dxa"/>
            <w:bottom w:w="0" w:type="dxa"/>
            <w:right w:w="108" w:type="dxa"/>
          </w:tblCellMar>
        </w:tblPrEx>
        <w:trPr>
          <w:trHeight w:val="756"/>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战略性新兴产业分类</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B114,D403</w:t>
            </w:r>
          </w:p>
        </w:tc>
      </w:tr>
    </w:tbl>
    <w:p>
      <w:pPr>
        <w:rPr>
          <w:rFonts w:hint="default"/>
          <w:color w:val="auto"/>
          <w:lang w:val="en-US" w:eastAsia="zh-CN"/>
        </w:rPr>
      </w:pPr>
    </w:p>
    <w:p>
      <w:pPr>
        <w:pStyle w:val="Heading2"/>
        <w:numPr>
          <w:ilvl w:val="1"/>
          <w:numId w:val="4"/>
        </w:numPr>
        <w:bidi w:val="0"/>
        <w:rPr>
          <w:rFonts w:hint="eastAsia"/>
          <w:color w:val="auto"/>
          <w:lang w:val="en-US" w:eastAsia="zh-CN"/>
        </w:rPr>
      </w:pPr>
      <w:bookmarkStart w:id="44" w:name="_Toc34826135"/>
      <w:bookmarkStart w:id="45" w:name="_Toc23344"/>
      <w:bookmarkStart w:id="46" w:name="_Toc256000014"/>
      <w:r>
        <w:rPr>
          <w:rFonts w:hint="eastAsia"/>
          <w:color w:val="auto"/>
          <w:lang w:val="en-US" w:eastAsia="zh-CN"/>
        </w:rPr>
        <w:t>市场价值评分详情</w:t>
      </w:r>
      <w:bookmarkEnd w:id="46"/>
      <w:bookmarkEnd w:id="45"/>
      <w:bookmarkEnd w:id="44"/>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31"/>
        <w:gridCol w:w="3561"/>
        <w:gridCol w:w="24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798"/>
        </w:trPr>
        <w:tc>
          <w:tcPr>
            <w:tcW w:w="233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786"/>
        </w:trPr>
        <w:tc>
          <w:tcPr>
            <w:tcW w:w="2331"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专利实施情况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标准专利</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海关备案</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专利许可情况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许可次数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专利质押情况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质押次数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专利转让情况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申请权转让次数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专利权转让次数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7"/>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判决情况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判决金额</w:t>
            </w:r>
          </w:p>
        </w:tc>
        <w:tc>
          <w:tcPr>
            <w:tcW w:w="2427"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w:t>
            </w:r>
          </w:p>
        </w:tc>
      </w:tr>
    </w:tbl>
    <w:p>
      <w:pPr>
        <w:pStyle w:val="Heading2"/>
        <w:numPr>
          <w:ilvl w:val="1"/>
          <w:numId w:val="4"/>
        </w:numPr>
        <w:bidi w:val="0"/>
        <w:rPr>
          <w:rFonts w:hint="eastAsia"/>
          <w:color w:val="auto"/>
          <w:lang w:val="en-US" w:eastAsia="zh-CN"/>
        </w:rPr>
      </w:pPr>
      <w:bookmarkStart w:id="47" w:name="_Toc34826136"/>
      <w:bookmarkStart w:id="48" w:name="_Toc5918"/>
      <w:bookmarkStart w:id="49" w:name="_Toc256000015"/>
      <w:r>
        <w:rPr>
          <w:rFonts w:hint="eastAsia"/>
          <w:color w:val="auto"/>
          <w:lang w:val="en-US" w:eastAsia="zh-CN"/>
        </w:rPr>
        <w:t>战略价值评分详情</w:t>
      </w:r>
      <w:bookmarkEnd w:id="49"/>
      <w:bookmarkEnd w:id="48"/>
      <w:bookmarkEnd w:id="47"/>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275"/>
        <w:gridCol w:w="3477"/>
        <w:gridCol w:w="2636"/>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16"/>
        </w:trPr>
        <w:tc>
          <w:tcPr>
            <w:tcW w:w="2275"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5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804"/>
        </w:trPr>
        <w:tc>
          <w:tcPr>
            <w:tcW w:w="2275"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专利防御价值</w:t>
            </w:r>
          </w:p>
        </w:tc>
        <w:tc>
          <w:tcPr>
            <w:tcW w:w="3477" w:type="dxa"/>
            <w:shd w:val="clear" w:color="auto" w:fill="FFFFFF" w:themeFill="background1"/>
            <w:vAlign w:val="center"/>
          </w:tcPr>
          <w:p>
            <w:pPr>
              <w:tabs>
                <w:tab w:val="left" w:pos="464"/>
              </w:tabs>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是否分案/母案</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一案双申</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复审次数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专利进攻价值</w:t>
            </w: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无效次数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无效口审次数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国防解密</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诉讼次数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66"/>
        </w:trPr>
        <w:tc>
          <w:tcPr>
            <w:tcW w:w="2275"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专利影响力价值</w:t>
            </w: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专利奖等级</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bl>
    <w:p>
      <w:pPr>
        <w:pStyle w:val="Heading1"/>
        <w:numPr>
          <w:ilvl w:val="0"/>
          <w:numId w:val="4"/>
        </w:numPr>
        <w:bidi w:val="0"/>
        <w:rPr>
          <w:rFonts w:hint="eastAsia"/>
          <w:color w:val="auto"/>
          <w:lang w:val="en-US" w:eastAsia="zh-CN"/>
        </w:rPr>
      </w:pPr>
      <w:bookmarkStart w:id="50" w:name="_Toc34826137"/>
      <w:bookmarkStart w:id="51" w:name="_Toc9313"/>
      <w:bookmarkStart w:id="52" w:name="_Toc256000016"/>
      <w:r>
        <w:rPr>
          <w:rFonts w:hint="eastAsia"/>
          <w:color w:val="auto"/>
          <w:lang w:val="en-US" w:eastAsia="zh-CN"/>
        </w:rPr>
        <w:t>领域分析</w:t>
      </w:r>
      <w:bookmarkEnd w:id="52"/>
      <w:bookmarkEnd w:id="51"/>
      <w:bookmarkEnd w:id="50"/>
    </w:p>
    <w:p>
      <w:pPr>
        <w:pStyle w:val="Heading2"/>
        <w:numPr>
          <w:ilvl w:val="1"/>
          <w:numId w:val="4"/>
        </w:numPr>
        <w:bidi w:val="0"/>
        <w:rPr>
          <w:rFonts w:hint="default"/>
          <w:color w:val="auto"/>
          <w:lang w:val="en-US" w:eastAsia="zh-CN"/>
        </w:rPr>
      </w:pPr>
      <w:bookmarkStart w:id="53" w:name="_Toc34826138"/>
      <w:bookmarkStart w:id="54" w:name="_Toc4261"/>
      <w:bookmarkStart w:id="55" w:name="_Toc256000017"/>
      <w:r>
        <w:rPr>
          <w:rFonts w:hint="eastAsia"/>
          <w:color w:val="auto"/>
          <w:lang w:val="en-US" w:eastAsia="zh-CN"/>
        </w:rPr>
        <w:t>市场价值度</w:t>
      </w:r>
      <w:bookmarkEnd w:id="55"/>
      <w:bookmarkEnd w:id="54"/>
      <w:bookmarkEnd w:id="53"/>
    </w:p>
    <w:p>
      <w:pPr>
        <w:rPr>
          <w:color w:val="auto"/>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989"/>
        <w:gridCol w:w="1216"/>
        <w:gridCol w:w="1216"/>
        <w:gridCol w:w="1216"/>
        <w:gridCol w:w="1216"/>
        <w:gridCol w:w="1344"/>
        <w:gridCol w:w="1203"/>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0"/>
        </w:trPr>
        <w:tc>
          <w:tcPr>
            <w:tcW w:w="1100"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335"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申请量</w:t>
            </w:r>
          </w:p>
        </w:tc>
        <w:tc>
          <w:tcPr>
            <w:tcW w:w="2335"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申请人数量</w:t>
            </w:r>
          </w:p>
        </w:tc>
        <w:tc>
          <w:tcPr>
            <w:tcW w:w="1370"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近三年人均申请量</w:t>
            </w:r>
          </w:p>
        </w:tc>
        <w:tc>
          <w:tcPr>
            <w:tcW w:w="1256"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市场价值度</w:t>
            </w:r>
          </w:p>
        </w:tc>
      </w:tr>
      <w:tr>
        <w:tblPrEx>
          <w:tblW w:w="0" w:type="auto"/>
          <w:tblInd w:w="122" w:type="dxa"/>
          <w:shd w:val="clear" w:color="auto" w:fill="5B9BD5" w:themeFill="accent1"/>
          <w:tblCellMar>
            <w:top w:w="0" w:type="dxa"/>
            <w:left w:w="108" w:type="dxa"/>
            <w:bottom w:w="0" w:type="dxa"/>
            <w:right w:w="108" w:type="dxa"/>
          </w:tblCellMar>
        </w:tblPrEx>
        <w:trPr>
          <w:trHeight w:val="851"/>
        </w:trPr>
        <w:tc>
          <w:tcPr>
            <w:tcW w:w="1100" w:type="dxa"/>
            <w:vMerge/>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1167"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相关专利数量占比</w:t>
            </w:r>
          </w:p>
        </w:tc>
        <w:tc>
          <w:tcPr>
            <w:tcW w:w="1168"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年均申请量</w:t>
            </w:r>
          </w:p>
        </w:tc>
        <w:tc>
          <w:tcPr>
            <w:tcW w:w="1167"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相关申请人数量</w:t>
            </w:r>
          </w:p>
        </w:tc>
        <w:tc>
          <w:tcPr>
            <w:tcW w:w="1168"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年均申请人数量</w:t>
            </w:r>
          </w:p>
        </w:tc>
        <w:tc>
          <w:tcPr>
            <w:tcW w:w="1370"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1256"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1100"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申请日前</w:t>
            </w:r>
          </w:p>
        </w:tc>
        <w:tc>
          <w:tcPr>
            <w:tcW w:w="1167"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0.26</w:t>
            </w:r>
          </w:p>
        </w:tc>
        <w:tc>
          <w:tcPr>
            <w:tcW w:w="1168"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11</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175</w:t>
            </w:r>
          </w:p>
        </w:tc>
        <w:tc>
          <w:tcPr>
            <w:tcW w:w="1168" w:type="dxa"/>
            <w:shd w:val="clear" w:color="auto" w:fill="FFFFFF" w:themeFill="background1"/>
            <w:vAlign w:val="center"/>
          </w:tcPr>
          <w:p>
            <w:pPr>
              <w:jc w:val="center"/>
              <w:rPr>
                <w:rFonts w:eastAsiaTheme="minorEastAsia" w:hint="eastAsia"/>
                <w:color w:val="auto"/>
                <w:vertAlign w:val="baseline"/>
                <w:lang w:val="en-US" w:eastAsia="zh-CN"/>
              </w:rPr>
            </w:pPr>
            <w:r>
              <w:rPr>
                <w:rFonts w:hint="eastAsia"/>
                <w:color w:val="auto"/>
                <w:vertAlign w:val="baseline"/>
                <w:lang w:val="en-US" w:eastAsia="zh-CN"/>
              </w:rPr>
              <w:t>9</w:t>
            </w:r>
          </w:p>
        </w:tc>
        <w:tc>
          <w:tcPr>
            <w:tcW w:w="1370"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2</w:t>
            </w:r>
          </w:p>
        </w:tc>
        <w:tc>
          <w:tcPr>
            <w:tcW w:w="1256" w:type="dxa"/>
            <w:vMerge w:val="restart"/>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8.54</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1100"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kern w:val="2"/>
                <w:sz w:val="22"/>
                <w:szCs w:val="22"/>
                <w:u w:val="none"/>
                <w:lang w:val="en-US" w:eastAsia="zh-CN" w:bidi="ar-SA"/>
              </w:rPr>
              <w:t>申请日后</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0.74</w:t>
            </w:r>
          </w:p>
        </w:tc>
        <w:tc>
          <w:tcPr>
            <w:tcW w:w="1168"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77</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520</w:t>
            </w:r>
          </w:p>
        </w:tc>
        <w:tc>
          <w:tcPr>
            <w:tcW w:w="1168" w:type="dxa"/>
            <w:shd w:val="clear" w:color="auto" w:fill="FFFFFF" w:themeFill="background1"/>
            <w:vAlign w:val="center"/>
          </w:tcPr>
          <w:p>
            <w:pPr>
              <w:jc w:val="center"/>
              <w:rPr>
                <w:rFonts w:eastAsiaTheme="minorEastAsia" w:hint="eastAsia"/>
                <w:color w:val="auto"/>
                <w:vertAlign w:val="baseline"/>
                <w:lang w:val="en-US" w:eastAsia="zh-CN"/>
              </w:rPr>
            </w:pPr>
            <w:r>
              <w:rPr>
                <w:rFonts w:hint="eastAsia"/>
                <w:color w:val="auto"/>
                <w:vertAlign w:val="baseline"/>
                <w:lang w:val="en-US" w:eastAsia="zh-CN"/>
              </w:rPr>
              <w:t>72</w:t>
            </w:r>
          </w:p>
        </w:tc>
        <w:tc>
          <w:tcPr>
            <w:tcW w:w="1370"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1</w:t>
            </w:r>
          </w:p>
        </w:tc>
        <w:tc>
          <w:tcPr>
            <w:tcW w:w="1256" w:type="dxa"/>
            <w:vMerge/>
            <w:shd w:val="clear" w:color="auto" w:fill="FFFFFF" w:themeFill="background1"/>
            <w:vAlign w:val="center"/>
          </w:tcPr>
          <w:p>
            <w:pPr>
              <w:jc w:val="center"/>
              <w:rPr>
                <w:rFonts w:hint="default"/>
                <w:color w:val="auto"/>
                <w:vertAlign w:val="baseline"/>
                <w:lang w:val="en-US" w:eastAsia="zh-CN"/>
              </w:rPr>
            </w:pPr>
          </w:p>
        </w:tc>
      </w:tr>
    </w:tbl>
    <w:p>
      <w:pPr>
        <w:rPr>
          <w:color w:val="auto"/>
        </w:rPr>
      </w:pPr>
    </w:p>
    <w:p>
      <w:pPr>
        <w:numPr>
          <w:ilvl w:val="0"/>
          <w:numId w:val="0"/>
        </w:numPr>
        <w:spacing w:line="240" w:lineRule="auto"/>
        <w:jc w:val="left"/>
        <w:rPr>
          <w:rFonts w:ascii="仿宋" w:eastAsia="仿宋" w:hAnsi="仿宋" w:cs="仿宋" w:hint="eastAsia"/>
          <w:b w:val="0"/>
          <w:color w:val="auto"/>
          <w:sz w:val="24"/>
          <w:szCs w:val="24"/>
          <w:lang w:val="en-US" w:eastAsia="zh-CN"/>
        </w:rPr>
      </w:pPr>
      <w:r>
        <w:rPr>
          <w:rFonts w:ascii="仿宋" w:eastAsia="仿宋" w:hAnsi="仿宋" w:cs="仿宋" w:hint="eastAsia"/>
          <w:b w:val="0"/>
          <w:color w:val="auto"/>
          <w:sz w:val="24"/>
          <w:szCs w:val="24"/>
          <w:lang w:val="en-US" w:eastAsia="zh-CN"/>
        </w:rPr>
        <w:t>注：由于近两年申请专利未公开完全，近两年年均申请量可能较真实数据偏低</w:t>
      </w:r>
    </w:p>
    <w:p>
      <w:pPr>
        <w:pStyle w:val="Heading2"/>
        <w:numPr>
          <w:ilvl w:val="1"/>
          <w:numId w:val="4"/>
        </w:numPr>
        <w:bidi w:val="0"/>
        <w:rPr>
          <w:rFonts w:hint="eastAsia"/>
          <w:color w:val="auto"/>
          <w:lang w:val="en-US" w:eastAsia="zh-CN"/>
        </w:rPr>
      </w:pPr>
      <w:bookmarkStart w:id="56" w:name="_Toc34826139"/>
      <w:bookmarkStart w:id="57" w:name="_Toc18980"/>
      <w:bookmarkStart w:id="58" w:name="_Toc256000018"/>
      <w:r>
        <w:rPr>
          <w:rFonts w:hint="eastAsia"/>
          <w:color w:val="auto"/>
          <w:lang w:val="en-US" w:eastAsia="zh-CN"/>
        </w:rPr>
        <w:t>创造性高度</w:t>
      </w:r>
      <w:bookmarkEnd w:id="58"/>
      <w:bookmarkEnd w:id="57"/>
      <w:bookmarkEnd w:id="56"/>
    </w:p>
    <w:p>
      <w:pPr>
        <w:rPr>
          <w:rFonts w:hint="eastAsia"/>
          <w:color w:val="auto"/>
          <w:lang w:val="en-US" w:eastAsia="zh-CN"/>
        </w:rPr>
      </w:pPr>
    </w:p>
    <w:tbl>
      <w:tblPr>
        <w:tblStyle w:val="TableGrid"/>
        <w:tblW w:w="8295" w:type="dxa"/>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1102"/>
        <w:gridCol w:w="1734"/>
        <w:gridCol w:w="1782"/>
        <w:gridCol w:w="3677"/>
      </w:tblGrid>
      <w:tr>
        <w:tblPrEx>
          <w:tblW w:w="8295" w:type="dxa"/>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1102"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3516"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专利相关度</w:t>
            </w:r>
          </w:p>
        </w:tc>
        <w:tc>
          <w:tcPr>
            <w:tcW w:w="3677"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技术影响</w:t>
            </w:r>
          </w:p>
        </w:tc>
      </w:tr>
      <w:tr>
        <w:tblPrEx>
          <w:tblW w:w="8295" w:type="dxa"/>
          <w:tblInd w:w="122" w:type="dxa"/>
          <w:shd w:val="clear" w:color="auto" w:fill="5B9BD5" w:themeFill="accent1"/>
          <w:tblCellMar>
            <w:top w:w="0" w:type="dxa"/>
            <w:left w:w="108" w:type="dxa"/>
            <w:bottom w:w="0" w:type="dxa"/>
            <w:right w:w="108" w:type="dxa"/>
          </w:tblCellMar>
        </w:tblPrEx>
        <w:trPr>
          <w:trHeight w:val="851"/>
        </w:trPr>
        <w:tc>
          <w:tcPr>
            <w:tcW w:w="1102" w:type="dxa"/>
            <w:vMerge/>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1734"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平均相关度</w:t>
            </w:r>
          </w:p>
        </w:tc>
        <w:tc>
          <w:tcPr>
            <w:tcW w:w="1782"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最高相关度</w:t>
            </w:r>
          </w:p>
        </w:tc>
        <w:tc>
          <w:tcPr>
            <w:tcW w:w="3677"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r>
      <w:tr>
        <w:tblPrEx>
          <w:tblW w:w="8295" w:type="dxa"/>
          <w:tblInd w:w="122" w:type="dxa"/>
          <w:shd w:val="clear" w:color="auto" w:fill="5B9BD5" w:themeFill="accent1"/>
          <w:tblCellMar>
            <w:top w:w="0" w:type="dxa"/>
            <w:left w:w="108" w:type="dxa"/>
            <w:bottom w:w="0" w:type="dxa"/>
            <w:right w:w="108" w:type="dxa"/>
          </w:tblCellMar>
        </w:tblPrEx>
        <w:trPr>
          <w:trHeight w:val="838"/>
        </w:trPr>
        <w:tc>
          <w:tcPr>
            <w:tcW w:w="1102"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申请日前</w:t>
            </w:r>
          </w:p>
        </w:tc>
        <w:tc>
          <w:tcPr>
            <w:tcW w:w="1734"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0.82</w:t>
            </w:r>
          </w:p>
        </w:tc>
        <w:tc>
          <w:tcPr>
            <w:tcW w:w="1782"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0.87</w:t>
            </w:r>
          </w:p>
        </w:tc>
        <w:tc>
          <w:tcPr>
            <w:tcW w:w="3677" w:type="dxa"/>
            <w:vMerge w:val="restart"/>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280.94</w:t>
            </w:r>
          </w:p>
        </w:tc>
      </w:tr>
      <w:tr>
        <w:tblPrEx>
          <w:tblW w:w="8295" w:type="dxa"/>
          <w:tblInd w:w="122" w:type="dxa"/>
          <w:shd w:val="clear" w:color="auto" w:fill="5B9BD5" w:themeFill="accent1"/>
          <w:tblCellMar>
            <w:top w:w="0" w:type="dxa"/>
            <w:left w:w="108" w:type="dxa"/>
            <w:bottom w:w="0" w:type="dxa"/>
            <w:right w:w="108" w:type="dxa"/>
          </w:tblCellMar>
        </w:tblPrEx>
        <w:trPr>
          <w:trHeight w:val="885"/>
        </w:trPr>
        <w:tc>
          <w:tcPr>
            <w:tcW w:w="1102"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kern w:val="2"/>
                <w:sz w:val="22"/>
                <w:szCs w:val="22"/>
                <w:u w:val="none"/>
                <w:lang w:val="en-US" w:eastAsia="zh-CN" w:bidi="ar-SA"/>
              </w:rPr>
              <w:t>申请日后</w:t>
            </w:r>
          </w:p>
        </w:tc>
        <w:tc>
          <w:tcPr>
            <w:tcW w:w="1734"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0.82</w:t>
            </w:r>
          </w:p>
        </w:tc>
        <w:tc>
          <w:tcPr>
            <w:tcW w:w="1782"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0.87</w:t>
            </w:r>
          </w:p>
        </w:tc>
        <w:tc>
          <w:tcPr>
            <w:tcW w:w="3677" w:type="dxa"/>
            <w:vMerge/>
            <w:shd w:val="clear" w:color="auto" w:fill="FFFFFF" w:themeFill="background1"/>
            <w:vAlign w:val="center"/>
          </w:tcPr>
          <w:p>
            <w:pPr>
              <w:jc w:val="center"/>
              <w:rPr>
                <w:rFonts w:hint="default"/>
                <w:color w:val="auto"/>
                <w:vertAlign w:val="baseline"/>
                <w:lang w:val="en-US" w:eastAsia="zh-CN"/>
              </w:rPr>
            </w:pPr>
          </w:p>
        </w:tc>
      </w:tr>
    </w:tbl>
    <w:p>
      <w:pPr>
        <w:rPr>
          <w:rFonts w:hint="eastAsia"/>
          <w:lang w:val="en-US" w:eastAsia="zh-CN"/>
        </w:rPr>
      </w:pPr>
    </w:p>
    <w:p>
      <w:pPr>
        <w:rPr>
          <w:rFonts w:hint="eastAsia"/>
          <w:lang w:val="en-US" w:eastAsia="zh-CN"/>
        </w:rPr>
      </w:pPr>
    </w:p>
    <w:sectPr>
      <w:headerReference w:type="default" r:id="rId14"/>
      <w:footerReference w:type="default" r:id="rId15"/>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pgNumType w:fmt="decimal"/>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思源黑体 Bold">
    <w:altName w:val="黑体"/>
    <w:panose1 w:val="020B0800000000000000"/>
    <w:charset w:val="86"/>
    <w:family w:val="swiss"/>
    <w:pitch w:val="default"/>
    <w:sig w:usb0="00000000" w:usb1="00000000" w:usb2="00000016" w:usb3="00000000" w:csb0="002E0107" w:csb1="00000000"/>
  </w:font>
  <w:font w:name="思源黑体 CN Light">
    <w:altName w:val="黑体"/>
    <w:panose1 w:val="00000000000000000000"/>
    <w:charset w:val="86"/>
    <w:family w:val="swiss"/>
    <w:pitch w:val="default"/>
    <w:sig w:usb0="00000000" w:usb1="00000000" w:usb2="00000016" w:usb3="00000000" w:csb0="60060107"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xmlns:wps="http://schemas.microsoft.com/office/word/2010/wordprocessingShape">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2049" type="#_x0000_t202" style="width:2in;height:2in;margin-top:0;margin-left:0;mso-position-horizontal:center;mso-position-horizontal-relative:margin;mso-wrap-distance-bottom:0;mso-wrap-distance-left:9pt;mso-wrap-distance-right:9pt;mso-wrap-distance-top:0;mso-wrap-style:none;position:absolute;v-text-anchor:top;z-index:251659264" filled="f" fillcolor="this" stroked="f" strokeweight="0.5pt">
              <v:textbox style="mso-fit-shape-to-text:t" inset="0,0,0,0">
                <w:txbxContent>
                  <w:p>
                    <w:pPr>
                      <w:pStyle w:val="Footer"/>
                    </w:pPr>
                    <w:r>
                      <w:fldChar w:fldCharType="begin"/>
                    </w:r>
                    <w:r>
                      <w:instrText xml:space="preserve"> PAGE  \* MERGEFORMAT </w:instrText>
                    </w:r>
                    <w:r>
                      <w:fldChar w:fldCharType="separate"/>
                    </w:r>
                    <w:r>
                      <w:t>10</w:t>
                    </w:r>
                    <w:r>
                      <w:fldChar w:fldCharType="end"/>
                    </w:r>
                  </w:p>
                </w:txbxContent>
              </v:textbox>
              <w10:wrap anchorx="margin"/>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Header"/>
      <w:pBdr>
        <w:top w:val="none" w:sz="0" w:space="1" w:color="auto"/>
        <w:left w:val="none" w:sz="0" w:space="4" w:color="auto"/>
        <w:bottom w:val="none" w:sz="0" w:space="1" w:color="auto"/>
        <w:right w:val="none" w:sz="0" w:space="4" w:color="auto"/>
        <w:between w:val="none" w:sz="0" w:space="0" w:color="auto"/>
      </w:pBdr>
      <w:rPr>
        <w:rFonts w:eastAsiaTheme="minorEastAsia" w:hint="eastAsia"/>
        <w:lang w:eastAsia="zh-CN"/>
      </w:rPr>
    </w:pPr>
    <w:r>
      <w:rPr>
        <w:rFonts w:eastAsiaTheme="minorEastAsia" w:hint="eastAsia"/>
        <w:lang w:eastAsia="zh-CN"/>
      </w:rPr>
      <w:drawing>
        <wp:anchor distT="0" distB="0" distL="114935" distR="114935" simplePos="0" relativeHeight="251658240" behindDoc="1" locked="0" layoutInCell="1" allowOverlap="1">
          <wp:simplePos x="0" y="0"/>
          <wp:positionH relativeFrom="column">
            <wp:posOffset>-1156335</wp:posOffset>
          </wp:positionH>
          <wp:positionV relativeFrom="paragraph">
            <wp:posOffset>-730250</wp:posOffset>
          </wp:positionV>
          <wp:extent cx="7565390" cy="10701020"/>
          <wp:effectExtent l="0" t="0" r="16510" b="5080"/>
          <wp:wrapNone/>
          <wp:docPr id="7" name="图片 7" descr="C:\Users\86198\Desktop\jiazhipingu\fengm_neirong.pngfengm_neir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86198\Desktop\jiazhipingu\fengm_neirong.pngfengm_neirong"/>
                  <pic:cNvPicPr>
                    <a:picLocks noChangeAspect="1"/>
                  </pic:cNvPicPr>
                </pic:nvPicPr>
                <pic:blipFill>
                  <a:blip xmlns:r="http://schemas.openxmlformats.org/officeDocument/2006/relationships" r:embed="rId1"/>
                  <a:stretch>
                    <a:fillRect/>
                  </a:stretch>
                </pic:blipFill>
                <pic:spPr>
                  <a:xfrm>
                    <a:off x="0" y="0"/>
                    <a:ext cx="7565390" cy="1070102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2" w:space="0" w:color="auto"/>
        <w:between w:val="single" w:sz="2" w:space="0" w:color="000000"/>
      </w:pBdr>
      <w:spacing w:before="0" w:after="0"/>
      <w:jc w:val="both"/>
      <w:rPr>
        <w:rFonts w:eastAsiaTheme="minorEastAsia" w:hint="default"/>
        <w:lang w:val="en-US" w:eastAsia="zh-CN"/>
      </w:rPr>
    </w:pPr>
  </w:p>
  <w:p/>
  <w:p>
    <w:pPr>
      <w:pBdr>
        <w:bottom w:val="single" w:sz="0" w:space="0" w:color="auto"/>
        <w:between w:val="single" w:sz="0" w:space="0" w:color="000000"/>
      </w:pBdr>
      <w:spacing w:before="0" w:after="0"/>
      <w:jc w:val="both"/>
    </w:pPr>
    <w:r>
      <w:rPr>
        <w:sz w:val="20"/>
        <w:szCs w:val="20"/>
      </w:rPr>
      <w:t>CN106841550B价值评估报告</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0" w:space="0" w:color="auto"/>
        <w:between w:val="single" w:sz="0" w:space="0" w:color="000000"/>
      </w:pBdr>
      <w:spacing w:before="0" w:after="0"/>
      <w:jc w:val="both"/>
    </w:pPr>
    <w:r>
      <w:rPr>
        <w:sz w:val="20"/>
        <w:szCs w:val="20"/>
      </w:rPr>
      <w:t>CN106841550B价值评估报告</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0" w:space="0" w:color="auto"/>
        <w:between w:val="single" w:sz="0" w:space="0" w:color="000000"/>
      </w:pBdr>
      <w:spacing w:before="0" w:after="0"/>
      <w:jc w:val="both"/>
    </w:pPr>
    <w:r>
      <w:rPr>
        <w:sz w:val="20"/>
        <w:szCs w:val="20"/>
      </w:rPr>
      <w:t>CN106841550B价值评估报告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9FCA8DC6"/>
    <w:multiLevelType w:val="singleLevel"/>
    <w:tmpl w:val="9FCA8DC6"/>
    <w:lvl w:ilvl="0">
      <w:start w:val="1"/>
      <w:numFmt w:val="decimal"/>
      <w:suff w:val="nothing"/>
      <w:lvlText w:val="%1、"/>
      <w:lvlJc w:val="left"/>
    </w:lvl>
  </w:abstractNum>
  <w:abstractNum w:abstractNumId="1">
    <w:nsid w:val="B5477158"/>
    <w:multiLevelType w:val="multilevel"/>
    <w:tmpl w:val="B5477158"/>
    <w:lvl w:ilvl="0">
      <w:start w:val="2"/>
      <w:numFmt w:val="decimal"/>
      <w:lvlText w:val="%1."/>
      <w:lvlJc w:val="left"/>
      <w:pPr>
        <w:tabs>
          <w:tab w:val="left" w:pos="312"/>
        </w:tabs>
      </w:pPr>
    </w:lvl>
    <w:lvl w:ilvl="1">
      <w:start w:val="1"/>
      <w:numFmt w:val="decimal"/>
      <w:suff w:val="space"/>
      <w:lvlText w:val="%1.%2"/>
      <w:lvlJc w:val="left"/>
      <w:pPr>
        <w:ind w:left="0" w:firstLine="0" w:leftChars="0" w:firstLineChars="0"/>
      </w:pPr>
      <w:rPr>
        <w:rFonts w:hint="default"/>
      </w:rPr>
    </w:lvl>
    <w:lvl w:ilvl="2">
      <w:start w:val="1"/>
      <w:numFmt w:val="decimal"/>
      <w:suff w:val="space"/>
      <w:lvlText w:val="%1.%2.%3"/>
      <w:lvlJc w:val="left"/>
      <w:pPr>
        <w:ind w:left="0" w:firstLine="0" w:leftChars="0" w:firstLineChars="0"/>
      </w:pPr>
      <w:rPr>
        <w:rFonts w:hint="default"/>
      </w:rPr>
    </w:lvl>
    <w:lvl w:ilvl="3">
      <w:start w:val="1"/>
      <w:numFmt w:val="decimal"/>
      <w:suff w:val="space"/>
      <w:lvlText w:val="%1.%2.%3.%4"/>
      <w:lvlJc w:val="left"/>
      <w:pPr>
        <w:ind w:left="0" w:firstLine="0" w:leftChars="0" w:firstLineChars="0"/>
      </w:pPr>
      <w:rPr>
        <w:rFonts w:hint="default"/>
      </w:rPr>
    </w:lvl>
    <w:lvl w:ilvl="4">
      <w:start w:val="1"/>
      <w:numFmt w:val="decimal"/>
      <w:suff w:val="space"/>
      <w:lvlText w:val="%1.%2.%3.%4.%5"/>
      <w:lvlJc w:val="left"/>
      <w:pPr>
        <w:ind w:left="0" w:firstLine="0" w:leftChars="0" w:firstLineChars="0"/>
      </w:pPr>
      <w:rPr>
        <w:rFonts w:hint="default"/>
      </w:rPr>
    </w:lvl>
    <w:lvl w:ilvl="5">
      <w:start w:val="1"/>
      <w:numFmt w:val="decimal"/>
      <w:suff w:val="space"/>
      <w:lvlText w:val="%1.%2.%3.%4.%5.%6"/>
      <w:lvlJc w:val="left"/>
      <w:pPr>
        <w:ind w:left="0" w:firstLine="0" w:leftChars="0" w:firstLineChars="0"/>
      </w:pPr>
      <w:rPr>
        <w:rFonts w:hint="default"/>
      </w:rPr>
    </w:lvl>
    <w:lvl w:ilvl="6">
      <w:start w:val="1"/>
      <w:numFmt w:val="decimal"/>
      <w:suff w:val="space"/>
      <w:lvlText w:val="%1.%2.%3.%4.%5.%6.%7"/>
      <w:lvlJc w:val="left"/>
      <w:pPr>
        <w:ind w:left="0" w:firstLine="0" w:leftChars="0" w:firstLineChars="0"/>
      </w:pPr>
      <w:rPr>
        <w:rFonts w:hint="default"/>
      </w:rPr>
    </w:lvl>
    <w:lvl w:ilvl="7">
      <w:start w:val="1"/>
      <w:numFmt w:val="decimal"/>
      <w:suff w:val="space"/>
      <w:lvlText w:val="%1.%2.%3.%4.%5.%6.%7.%8"/>
      <w:lvlJc w:val="left"/>
      <w:pPr>
        <w:ind w:left="0" w:firstLine="0" w:leftChars="0" w:firstLineChars="0"/>
      </w:pPr>
      <w:rPr>
        <w:rFonts w:hint="default"/>
      </w:rPr>
    </w:lvl>
    <w:lvl w:ilvl="8">
      <w:start w:val="1"/>
      <w:numFmt w:val="decimal"/>
      <w:suff w:val="space"/>
      <w:lvlText w:val="%1.%2.%3.%4.%5.%6.%7.%8.%9"/>
      <w:lvlJc w:val="left"/>
      <w:pPr>
        <w:ind w:left="0" w:firstLine="0" w:leftChars="0" w:firstLineChars="0"/>
      </w:pPr>
      <w:rPr>
        <w:rFonts w:hint="default"/>
      </w:rPr>
    </w:lvl>
  </w:abstractNum>
  <w:abstractNum w:abstractNumId="2">
    <w:nsid w:val="E6812E26"/>
    <w:multiLevelType w:val="multilevel"/>
    <w:tmpl w:val="E6812E2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
    <w:nsid w:val="4ED1CDD5"/>
    <w:multiLevelType w:val="singleLevel"/>
    <w:tmpl w:val="4ED1CDD5"/>
    <w:lvl w:ilvl="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defaultTabStop w:val="420"/>
  <w:updateFields/>
  <w:drawingGridVerticalSpacing w:val="156"/>
  <w:noPunctuationKerning/>
  <w:characterSpacingControl w:val="compressPunctuation"/>
  <w:compat>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7D80A39"/>
    <w:rsid w:val="0DD9412D"/>
    <w:rsid w:val="0E7059E4"/>
    <w:rsid w:val="106E66CE"/>
    <w:rsid w:val="10E2676D"/>
    <w:rsid w:val="11E10C98"/>
    <w:rsid w:val="16EF569D"/>
    <w:rsid w:val="1E5F44BF"/>
    <w:rsid w:val="24CF6255"/>
    <w:rsid w:val="257870FD"/>
    <w:rsid w:val="27EB6314"/>
    <w:rsid w:val="28C619BC"/>
    <w:rsid w:val="2A071519"/>
    <w:rsid w:val="2B016BD3"/>
    <w:rsid w:val="30A6192D"/>
    <w:rsid w:val="37A421E2"/>
    <w:rsid w:val="38700D97"/>
    <w:rsid w:val="3B755B75"/>
    <w:rsid w:val="3E463064"/>
    <w:rsid w:val="3E564895"/>
    <w:rsid w:val="405A6794"/>
    <w:rsid w:val="44F05207"/>
    <w:rsid w:val="4B9F0B41"/>
    <w:rsid w:val="534E3E33"/>
    <w:rsid w:val="53A34A9B"/>
    <w:rsid w:val="53D556A4"/>
    <w:rsid w:val="54C34224"/>
    <w:rsid w:val="554E1875"/>
    <w:rsid w:val="57285993"/>
    <w:rsid w:val="5BAB2CE0"/>
    <w:rsid w:val="72695E00"/>
    <w:rsid w:val="735208AD"/>
    <w:rsid w:val="78371F42"/>
  </w:rsids>
  <w:docVars>
    <w:docVar w:name="commondata" w:val="eyJoZGlkIjoiMDBiNzE5MjYyNWQ0ZDAwMGFhODNmOTJkYTA2YmVhYTgifQ=="/>
    <w:docVar w:name="KSO_WPS_MARK_KEY" w:val="d5106e8b-8aed-4ca4-9166-a50eb9e50a08"/>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sz w:val="20"/>
        <w:szCs w:val="20"/>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39" w:qFormat="1"/>
    <w:lsdException w:name="toc 2" w:semiHidden="0" w:uiPriority="39" w:qFormat="1"/>
    <w:lsdException w:name="toc 3" w:semiHidden="0" w:uiPriority="0"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qFormat="1"/>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qFormat="1"/>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2"/>
      <w:lang w:val="en-US" w:eastAsia="zh-CN" w:bidi="ar-SA"/>
    </w:rPr>
  </w:style>
  <w:style w:type="paragraph" w:styleId="Heading1">
    <w:name w:val="heading 1"/>
    <w:basedOn w:val="Normal"/>
    <w:next w:val="Normal"/>
    <w:uiPriority w:val="9"/>
    <w:qFormat/>
    <w:pPr>
      <w:keepNext/>
      <w:keepLines/>
      <w:spacing w:before="480" w:after="0"/>
      <w:outlineLvl w:val="0"/>
    </w:pPr>
    <w:rPr>
      <w:rFonts w:asciiTheme="majorHAnsi" w:eastAsiaTheme="majorEastAsia" w:hAnsiTheme="majorHAnsi" w:cstheme="majorBidi"/>
      <w:b/>
      <w:bCs/>
      <w:color w:val="2E75B6" w:themeColor="accent1" w:themeShade="BF"/>
      <w:sz w:val="28"/>
      <w:szCs w:val="28"/>
    </w:rPr>
  </w:style>
  <w:style w:type="paragraph" w:styleId="Heading2">
    <w:name w:val="heading 2"/>
    <w:basedOn w:val="Normal"/>
    <w:next w:val="Normal"/>
    <w:uiPriority w:val="9"/>
    <w:unhideWhenUsed/>
    <w:qFormat/>
    <w:pPr>
      <w:keepNext/>
      <w:keepLines/>
      <w:spacing w:before="200" w:after="0"/>
      <w:outlineLvl w:val="1"/>
    </w:pPr>
    <w:rPr>
      <w:rFonts w:asciiTheme="majorAscii" w:eastAsiaTheme="majorEastAsia" w:hAnsiTheme="majorAscii" w:cstheme="majorBidi"/>
      <w:b/>
      <w:bCs/>
      <w:color w:val="5B9BD5" w:themeColor="accent1"/>
      <w:sz w:val="24"/>
      <w:szCs w:val="26"/>
      <w14:textFill>
        <w14:solidFill>
          <w14:schemeClr w14:val="accent1"/>
        </w14:solidFill>
      </w14:textFill>
    </w:rPr>
  </w:style>
  <w:style w:type="paragraph" w:styleId="Heading3">
    <w:name w:val="heading 3"/>
    <w:basedOn w:val="Normal"/>
    <w:next w:val="Normal"/>
    <w:unhideWhenUsed/>
    <w:qFormat/>
    <w:pPr>
      <w:keepNext/>
      <w:keepLines/>
      <w:spacing w:before="260" w:beforeLines="0" w:beforeAutospacing="0" w:after="260" w:afterLines="0" w:afterAutospacing="0" w:line="413" w:lineRule="auto"/>
      <w:outlineLvl w:val="2"/>
    </w:pPr>
    <w:rPr>
      <w:rFonts w:asciiTheme="minorAscii" w:hAnsiTheme="minorAscii"/>
      <w:b/>
      <w:sz w:val="21"/>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TOC3">
    <w:name w:val="toc 3"/>
    <w:basedOn w:val="Normal"/>
    <w:next w:val="Normal"/>
    <w:qFormat/>
    <w:pPr>
      <w:ind w:left="840" w:leftChars="400"/>
    </w:pPr>
  </w:style>
  <w:style w:type="paragraph" w:styleId="Footer">
    <w:name w:val="footer"/>
    <w:basedOn w:val="Normal"/>
    <w:qFormat/>
    <w:pPr>
      <w:tabs>
        <w:tab w:val="center" w:pos="4153"/>
        <w:tab w:val="right" w:pos="8306"/>
      </w:tabs>
      <w:snapToGrid w:val="0"/>
      <w:jc w:val="left"/>
    </w:pPr>
    <w:rPr>
      <w:sz w:val="18"/>
    </w:rPr>
  </w:style>
  <w:style w:type="paragraph" w:styleId="Header">
    <w:name w:val="header"/>
    <w:basedOn w:val="Normal"/>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jc w:val="both"/>
      <w:outlineLvl w:val="9"/>
    </w:pPr>
    <w:rPr>
      <w:sz w:val="18"/>
    </w:rPr>
  </w:style>
  <w:style w:type="paragraph" w:styleId="TOC1">
    <w:name w:val="toc 1"/>
    <w:basedOn w:val="Normal"/>
    <w:next w:val="Normal"/>
    <w:uiPriority w:val="39"/>
    <w:unhideWhenUsed/>
    <w:qFormat/>
    <w:pPr>
      <w:spacing w:after="100"/>
    </w:pPr>
  </w:style>
  <w:style w:type="paragraph" w:styleId="TOC2">
    <w:name w:val="toc 2"/>
    <w:basedOn w:val="Normal"/>
    <w:next w:val="Normal"/>
    <w:uiPriority w:val="39"/>
    <w:unhideWhenUsed/>
    <w:qFormat/>
    <w:pPr>
      <w:spacing w:after="100"/>
      <w:ind w:left="220"/>
    </w:pPr>
  </w:style>
  <w:style w:type="table" w:styleId="TableGrid">
    <w:name w:val="Table Grid"/>
    <w:basedOn w:val="TableNormal"/>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Pr>
      <w:color w:val="0000FF"/>
      <w:u w:val="single"/>
    </w:rPr>
  </w:style>
  <w:style w:type="paragraph" w:customStyle="1" w:styleId="TOCHeading">
    <w:name w:val="TOC Heading"/>
    <w:uiPriority w:val="39"/>
    <w:semiHidden/>
    <w:unhideWhenUsed/>
    <w:qFormat/>
    <w:pPr>
      <w:keepNext/>
      <w:keepLines/>
      <w:numPr>
        <w:ilvl w:val="0"/>
        <w:numId w:val="0"/>
      </w:numPr>
      <w:spacing w:before="480" w:after="0"/>
      <w:outlineLvl w:val="9"/>
    </w:pPr>
    <w:rPr>
      <w:rFonts w:asciiTheme="majorHAnsi" w:eastAsiaTheme="majorEastAsia" w:hAnsiTheme="majorHAnsi" w:cstheme="majorBidi"/>
      <w:b/>
      <w:bCs/>
      <w:color w:val="000000"/>
      <w:sz w:val="28"/>
      <w:szCs w:val="28"/>
    </w:rPr>
  </w:style>
  <w:style w:type="paragraph" w:styleId="TOC4">
    <w:name w:val="toc 4"/>
    <w:basedOn w:val="Normal"/>
    <w:autoRedefine/>
    <w:uiPriority w:val="39"/>
    <w:unhideWhenUsed/>
    <w:pPr>
      <w:spacing w:after="100"/>
      <w:ind w:left="660"/>
    </w:pPr>
  </w:style>
  <w:style w:type="paragraph" w:styleId="TOC5">
    <w:name w:val="toc 5"/>
    <w:basedOn w:val="Normal"/>
    <w:autoRedefine/>
    <w:uiPriority w:val="39"/>
    <w:unhideWhenUsed/>
    <w:pPr>
      <w:spacing w:after="100"/>
      <w:ind w:left="880"/>
    </w:pPr>
  </w:style>
  <w:style w:type="paragraph" w:styleId="TOC6">
    <w:name w:val="toc 6"/>
    <w:basedOn w:val="Normal"/>
    <w:autoRedefine/>
    <w:uiPriority w:val="39"/>
    <w:unhideWhenUsed/>
    <w:pPr>
      <w:spacing w:after="100"/>
      <w:ind w:left="1100"/>
    </w:pPr>
  </w:style>
  <w:style w:type="paragraph" w:styleId="TOC7">
    <w:name w:val="toc 7"/>
    <w:basedOn w:val="Normal"/>
    <w:autoRedefine/>
    <w:uiPriority w:val="39"/>
    <w:unhideWhenUsed/>
    <w:pPr>
      <w:spacing w:after="100"/>
      <w:ind w:left="1320"/>
    </w:pPr>
  </w:style>
  <w:style w:type="paragraph" w:styleId="TOC8">
    <w:name w:val="toc 8"/>
    <w:basedOn w:val="Normal"/>
    <w:autoRedefine/>
    <w:uiPriority w:val="39"/>
    <w:unhideWhenUsed/>
    <w:pPr>
      <w:spacing w:after="100"/>
      <w:ind w:left="1540"/>
    </w:pPr>
  </w:style>
  <w:style w:type="paragraph" w:styleId="TOC9">
    <w:name w:val="toc 9"/>
    <w:basedOn w:val="Normal"/>
    <w:autoRedefine/>
    <w:uiPriority w:val="39"/>
    <w:unhideWhenUsed/>
    <w:pPr>
      <w:spacing w:after="100"/>
      <w:ind w:left="1760"/>
    </w:pPr>
  </w:style>
  <w:style w:type="character" w:customStyle="1" w:styleId="Hyperlink0">
    <w:name w:val="Hyperlink_0"/>
    <w:uiPriority w:val="99"/>
    <w:unhideWhenUsed/>
    <w:rPr>
      <w:color w:val="0563C1" w:themeColor="hyperlink"/>
      <w:u w:val="single"/>
    </w:rPr>
  </w:style>
  <w:style w:type="paragraph" w:customStyle="1" w:styleId="1-11-BR">
    <w:name w:val="1-11-BR"/>
    <w:pPr>
      <w:widowControl w:val="0"/>
      <w:jc w:val="both"/>
    </w:pPr>
    <w:rPr>
      <w:rFonts w:asciiTheme="minorHAnsi" w:eastAsiaTheme="minorEastAsia" w:hAnsiTheme="minorHAnsi" w:cstheme="minorBidi"/>
      <w:kern w:val="2"/>
      <w:sz w:val="21"/>
      <w:szCs w:val="22"/>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3.png" /><Relationship Id="rId11" Type="http://schemas.openxmlformats.org/officeDocument/2006/relationships/hyperlink" Target="https://www.cnipa.gov.cn/art/2021/12/17/art_430_172260.html" TargetMode="External" /><Relationship Id="rId12" Type="http://schemas.openxmlformats.org/officeDocument/2006/relationships/header" Target="header3.xml" /><Relationship Id="rId13" Type="http://schemas.openxmlformats.org/officeDocument/2006/relationships/image" Target="media/image4.png" /><Relationship Id="rId14" Type="http://schemas.openxmlformats.org/officeDocument/2006/relationships/header" Target="header4.xml" /><Relationship Id="rId15" Type="http://schemas.openxmlformats.org/officeDocument/2006/relationships/footer" Target="footer3.xml" /><Relationship Id="rId16" Type="http://schemas.openxmlformats.org/officeDocument/2006/relationships/theme" Target="theme/theme1.xml" /><Relationship Id="rId17" Type="http://schemas.openxmlformats.org/officeDocument/2006/relationships/numbering" Target="numbering.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_rels/header1.xml.rels>&#65279;<?xml version="1.0" encoding="utf-8" standalone="yes"?><Relationships xmlns="http://schemas.openxmlformats.org/package/2006/relationships"><Relationship Id="rId1" Type="http://schemas.openxmlformats.org/officeDocument/2006/relationships/image" Target="media/image2.png" /></Relationships>
</file>

<file path=word/theme/theme1.xml><?xml version="1.0" encoding="utf-8"?>
<a:theme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s="http://schemas.microsoft.com/office/word/2010/wordprocessingShape"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false">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s="http://www.wps.cn/officeDocument/2013/wpsCustomData" xmln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1459</Words>
  <Characters>2768</Characters>
  <Application>Microsoft Office Word</Application>
  <DocSecurity>0</DocSecurity>
  <Lines>0</Lines>
  <Paragraphs>0</Paragraphs>
  <ScaleCrop>false</ScaleCrop>
  <Company/>
  <LinksUpToDate>false</LinksUpToDate>
  <CharactersWithSpaces>2780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himmuc</dc:creator>
  <cp:lastModifiedBy>yuepeng</cp:lastModifiedBy>
  <cp:revision>0</cp:revision>
  <dcterms:created xsi:type="dcterms:W3CDTF">2021-12-08T03:09:00Z</dcterms:created>
  <dcterms:modified xsi:type="dcterms:W3CDTF">2024-09-23T07:27:31Z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C8F2589F47414EF08B97D55D90598B86</vt:lpwstr>
  </property>
  <property fmtid="{D5CDD505-2E9C-101B-9397-08002B2CF9AE}" pid="3" name="KSOProductBuildVer">
    <vt:lpwstr>2052-11.1.0.12980</vt:lpwstr>
  </property>
</Properties>
</file>